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33" w:rsidRPr="003C6FEE" w:rsidRDefault="00DB5D49" w:rsidP="001E3A55">
      <w:pPr>
        <w:pageBreakBefore/>
        <w:tabs>
          <w:tab w:val="left" w:pos="1701"/>
        </w:tabs>
        <w:jc w:val="center"/>
        <w:rPr>
          <w:rFonts w:asciiTheme="minorHAnsi" w:hAnsiTheme="minorHAnsi"/>
          <w:b/>
          <w:sz w:val="23"/>
          <w:szCs w:val="23"/>
        </w:rPr>
      </w:pPr>
      <w:bookmarkStart w:id="0" w:name="_GoBack"/>
      <w:bookmarkEnd w:id="0"/>
      <w:r w:rsidRPr="003C6FEE">
        <w:rPr>
          <w:rFonts w:asciiTheme="minorHAnsi" w:hAnsiTheme="minorHAnsi"/>
          <w:b/>
          <w:sz w:val="23"/>
          <w:szCs w:val="23"/>
        </w:rPr>
        <w:t>DECRETO EXECUTIVO Nº</w:t>
      </w:r>
      <w:r w:rsidR="008746E0" w:rsidRPr="003C6FEE">
        <w:rPr>
          <w:rFonts w:asciiTheme="minorHAnsi" w:hAnsiTheme="minorHAnsi"/>
          <w:b/>
          <w:sz w:val="23"/>
          <w:szCs w:val="23"/>
        </w:rPr>
        <w:t xml:space="preserve"> </w:t>
      </w:r>
      <w:r w:rsidR="00D0028D">
        <w:rPr>
          <w:rFonts w:asciiTheme="minorHAnsi" w:hAnsiTheme="minorHAnsi"/>
          <w:b/>
          <w:sz w:val="23"/>
          <w:szCs w:val="23"/>
        </w:rPr>
        <w:t>41</w:t>
      </w:r>
      <w:r w:rsidR="0052742B" w:rsidRPr="003C6FEE">
        <w:rPr>
          <w:rFonts w:asciiTheme="minorHAnsi" w:hAnsiTheme="minorHAnsi"/>
          <w:b/>
          <w:sz w:val="23"/>
          <w:szCs w:val="23"/>
        </w:rPr>
        <w:t>,</w:t>
      </w:r>
      <w:r w:rsidRPr="003C6FEE">
        <w:rPr>
          <w:rFonts w:asciiTheme="minorHAnsi" w:hAnsiTheme="minorHAnsi"/>
          <w:b/>
          <w:sz w:val="23"/>
          <w:szCs w:val="23"/>
        </w:rPr>
        <w:t xml:space="preserve"> DE </w:t>
      </w:r>
      <w:r w:rsidR="00D0028D">
        <w:rPr>
          <w:rFonts w:asciiTheme="minorHAnsi" w:hAnsiTheme="minorHAnsi"/>
          <w:b/>
          <w:sz w:val="23"/>
          <w:szCs w:val="23"/>
        </w:rPr>
        <w:t>26</w:t>
      </w:r>
      <w:r w:rsidRPr="003C6FEE">
        <w:rPr>
          <w:rFonts w:asciiTheme="minorHAnsi" w:hAnsiTheme="minorHAnsi"/>
          <w:b/>
          <w:sz w:val="23"/>
          <w:szCs w:val="23"/>
        </w:rPr>
        <w:t xml:space="preserve"> DE</w:t>
      </w:r>
      <w:r w:rsidR="008F730B" w:rsidRPr="003C6FEE">
        <w:rPr>
          <w:rFonts w:asciiTheme="minorHAnsi" w:hAnsiTheme="minorHAnsi"/>
          <w:b/>
          <w:sz w:val="23"/>
          <w:szCs w:val="23"/>
        </w:rPr>
        <w:t xml:space="preserve"> </w:t>
      </w:r>
      <w:r w:rsidR="00D0028D">
        <w:rPr>
          <w:rFonts w:asciiTheme="minorHAnsi" w:hAnsiTheme="minorHAnsi"/>
          <w:b/>
          <w:sz w:val="23"/>
          <w:szCs w:val="23"/>
        </w:rPr>
        <w:t>ABRIL</w:t>
      </w:r>
      <w:r w:rsidRPr="003C6FEE">
        <w:rPr>
          <w:rFonts w:asciiTheme="minorHAnsi" w:hAnsiTheme="minorHAnsi"/>
          <w:b/>
          <w:sz w:val="23"/>
          <w:szCs w:val="23"/>
        </w:rPr>
        <w:t xml:space="preserve"> DE </w:t>
      </w:r>
      <w:r w:rsidR="008F730B" w:rsidRPr="003C6FEE">
        <w:rPr>
          <w:rFonts w:asciiTheme="minorHAnsi" w:hAnsiTheme="minorHAnsi"/>
          <w:b/>
          <w:sz w:val="23"/>
          <w:szCs w:val="23"/>
        </w:rPr>
        <w:t>20</w:t>
      </w:r>
      <w:r w:rsidR="00ED0D05" w:rsidRPr="003C6FEE">
        <w:rPr>
          <w:rFonts w:asciiTheme="minorHAnsi" w:hAnsiTheme="minorHAnsi"/>
          <w:b/>
          <w:sz w:val="23"/>
          <w:szCs w:val="23"/>
        </w:rPr>
        <w:t>18</w:t>
      </w:r>
    </w:p>
    <w:p w:rsidR="00F01333" w:rsidRPr="003C6FEE" w:rsidRDefault="00F01333" w:rsidP="001E3A55">
      <w:pPr>
        <w:rPr>
          <w:rFonts w:asciiTheme="minorHAnsi" w:hAnsiTheme="minorHAnsi"/>
          <w:b/>
          <w:sz w:val="23"/>
          <w:szCs w:val="23"/>
        </w:rPr>
      </w:pPr>
    </w:p>
    <w:p w:rsidR="00F01333" w:rsidRPr="003C6FEE" w:rsidRDefault="00073220" w:rsidP="001E3A55">
      <w:pPr>
        <w:ind w:left="4536"/>
        <w:jc w:val="both"/>
        <w:rPr>
          <w:rFonts w:asciiTheme="minorHAnsi" w:hAnsiTheme="minorHAnsi"/>
          <w:sz w:val="23"/>
          <w:szCs w:val="23"/>
        </w:rPr>
      </w:pPr>
      <w:r w:rsidRPr="003C6FEE">
        <w:rPr>
          <w:rFonts w:asciiTheme="minorHAnsi" w:hAnsiTheme="minorHAnsi"/>
          <w:sz w:val="23"/>
          <w:szCs w:val="23"/>
        </w:rPr>
        <w:t>Dispõe sobre planilha de cálculo tarifário, regulamentando a f</w:t>
      </w:r>
      <w:r w:rsidR="008613DA" w:rsidRPr="003C6FEE">
        <w:rPr>
          <w:rFonts w:asciiTheme="minorHAnsi" w:hAnsiTheme="minorHAnsi"/>
          <w:sz w:val="23"/>
          <w:szCs w:val="23"/>
        </w:rPr>
        <w:t>órmula de cálculo da tarifa do Sistema de Transporte C</w:t>
      </w:r>
      <w:r w:rsidRPr="003C6FEE">
        <w:rPr>
          <w:rFonts w:asciiTheme="minorHAnsi" w:hAnsiTheme="minorHAnsi"/>
          <w:sz w:val="23"/>
          <w:szCs w:val="23"/>
        </w:rPr>
        <w:t>oletivo por ônibus e da outras providências</w:t>
      </w:r>
      <w:r w:rsidR="00FC3646" w:rsidRPr="003C6FEE">
        <w:rPr>
          <w:rFonts w:asciiTheme="minorHAnsi" w:hAnsiTheme="minorHAnsi"/>
          <w:sz w:val="23"/>
          <w:szCs w:val="23"/>
        </w:rPr>
        <w:t>.</w:t>
      </w:r>
    </w:p>
    <w:p w:rsidR="00DB5D49" w:rsidRPr="003C6FEE" w:rsidRDefault="00DB5D49" w:rsidP="001E3A55">
      <w:pPr>
        <w:ind w:left="30" w:firstLine="1665"/>
        <w:jc w:val="both"/>
        <w:rPr>
          <w:rFonts w:asciiTheme="minorHAnsi" w:hAnsiTheme="minorHAnsi"/>
          <w:b/>
          <w:sz w:val="23"/>
          <w:szCs w:val="23"/>
        </w:rPr>
      </w:pPr>
    </w:p>
    <w:p w:rsidR="00B82023" w:rsidRPr="003C6FEE" w:rsidRDefault="00F01333" w:rsidP="001E3A55">
      <w:pPr>
        <w:ind w:right="-15" w:firstLine="1701"/>
        <w:jc w:val="both"/>
        <w:rPr>
          <w:rFonts w:asciiTheme="minorHAnsi" w:hAnsiTheme="minorHAnsi"/>
          <w:sz w:val="23"/>
          <w:szCs w:val="23"/>
        </w:rPr>
      </w:pPr>
      <w:r w:rsidRPr="003C6FEE">
        <w:rPr>
          <w:rFonts w:asciiTheme="minorHAnsi" w:hAnsiTheme="minorHAnsi"/>
          <w:sz w:val="23"/>
          <w:szCs w:val="23"/>
        </w:rPr>
        <w:t xml:space="preserve">O </w:t>
      </w:r>
      <w:r w:rsidRPr="003C6FEE">
        <w:rPr>
          <w:rFonts w:asciiTheme="minorHAnsi" w:hAnsiTheme="minorHAnsi"/>
          <w:b/>
          <w:sz w:val="23"/>
          <w:szCs w:val="23"/>
        </w:rPr>
        <w:t>PREFEITO MUNICIPAL DE SANTA MARIA</w:t>
      </w:r>
      <w:r w:rsidRPr="00C0081F">
        <w:rPr>
          <w:rFonts w:asciiTheme="minorHAnsi" w:hAnsiTheme="minorHAnsi"/>
          <w:sz w:val="23"/>
          <w:szCs w:val="23"/>
        </w:rPr>
        <w:t xml:space="preserve">, </w:t>
      </w:r>
      <w:r w:rsidR="00B82023" w:rsidRPr="003C6FEE">
        <w:rPr>
          <w:rFonts w:asciiTheme="minorHAnsi" w:hAnsiTheme="minorHAnsi"/>
          <w:sz w:val="23"/>
          <w:szCs w:val="23"/>
        </w:rPr>
        <w:t>no uso das atribuições que lhe são conferidas em Lei,</w:t>
      </w:r>
    </w:p>
    <w:p w:rsidR="00F01333" w:rsidRPr="003C6FEE" w:rsidRDefault="00F01333" w:rsidP="001E3A55">
      <w:pPr>
        <w:ind w:left="30" w:firstLine="1665"/>
        <w:jc w:val="both"/>
        <w:rPr>
          <w:rFonts w:asciiTheme="minorHAnsi" w:hAnsiTheme="minorHAnsi"/>
          <w:sz w:val="23"/>
          <w:szCs w:val="23"/>
        </w:rPr>
      </w:pPr>
    </w:p>
    <w:p w:rsidR="00F01333" w:rsidRPr="003C6FEE" w:rsidRDefault="00F01333" w:rsidP="001E3A55">
      <w:pPr>
        <w:ind w:left="30"/>
        <w:jc w:val="center"/>
        <w:rPr>
          <w:rFonts w:asciiTheme="minorHAnsi" w:hAnsiTheme="minorHAnsi"/>
          <w:b/>
          <w:sz w:val="23"/>
          <w:szCs w:val="23"/>
        </w:rPr>
      </w:pPr>
      <w:r w:rsidRPr="003C6FEE">
        <w:rPr>
          <w:rFonts w:asciiTheme="minorHAnsi" w:hAnsiTheme="minorHAnsi"/>
          <w:b/>
          <w:sz w:val="23"/>
          <w:szCs w:val="23"/>
          <w:u w:val="single"/>
        </w:rPr>
        <w:t>D E C R E T A</w:t>
      </w:r>
      <w:r w:rsidRPr="003C6FEE">
        <w:rPr>
          <w:rFonts w:asciiTheme="minorHAnsi" w:hAnsiTheme="minorHAnsi"/>
          <w:sz w:val="23"/>
          <w:szCs w:val="23"/>
        </w:rPr>
        <w:t>:</w:t>
      </w:r>
    </w:p>
    <w:p w:rsidR="00F01333" w:rsidRPr="003C6FEE" w:rsidRDefault="00F01333" w:rsidP="001E3A55">
      <w:pPr>
        <w:jc w:val="center"/>
        <w:rPr>
          <w:rFonts w:asciiTheme="minorHAnsi" w:hAnsiTheme="minorHAnsi"/>
          <w:sz w:val="23"/>
          <w:szCs w:val="23"/>
        </w:rPr>
      </w:pPr>
    </w:p>
    <w:p w:rsidR="00F01333" w:rsidRPr="003C6FEE" w:rsidRDefault="00F01333" w:rsidP="001E3A55">
      <w:pPr>
        <w:jc w:val="center"/>
        <w:rPr>
          <w:rFonts w:asciiTheme="minorHAnsi" w:hAnsiTheme="minorHAnsi"/>
          <w:sz w:val="23"/>
          <w:szCs w:val="23"/>
        </w:rPr>
      </w:pPr>
      <w:r w:rsidRPr="003C6FEE">
        <w:rPr>
          <w:rFonts w:asciiTheme="minorHAnsi" w:hAnsiTheme="minorHAnsi"/>
          <w:sz w:val="23"/>
          <w:szCs w:val="23"/>
        </w:rPr>
        <w:t>CAPITULO I</w:t>
      </w:r>
    </w:p>
    <w:p w:rsidR="00F01333" w:rsidRPr="003C6FEE" w:rsidRDefault="00F01333" w:rsidP="001E3A55">
      <w:pPr>
        <w:jc w:val="center"/>
        <w:rPr>
          <w:rFonts w:asciiTheme="minorHAnsi" w:hAnsiTheme="minorHAnsi"/>
          <w:sz w:val="23"/>
          <w:szCs w:val="23"/>
        </w:rPr>
      </w:pPr>
      <w:r w:rsidRPr="003C6FEE">
        <w:rPr>
          <w:rFonts w:asciiTheme="minorHAnsi" w:hAnsiTheme="minorHAnsi"/>
          <w:sz w:val="23"/>
          <w:szCs w:val="23"/>
        </w:rPr>
        <w:t>DISPOSIÇÕES GERAIS</w:t>
      </w:r>
    </w:p>
    <w:p w:rsidR="00F01333" w:rsidRPr="003C6FEE" w:rsidRDefault="00F01333" w:rsidP="001E3A55">
      <w:pPr>
        <w:jc w:val="center"/>
        <w:rPr>
          <w:rFonts w:asciiTheme="minorHAnsi" w:hAnsiTheme="minorHAnsi"/>
          <w:sz w:val="23"/>
          <w:szCs w:val="23"/>
        </w:rPr>
      </w:pPr>
    </w:p>
    <w:p w:rsidR="00073220" w:rsidRPr="003C6FEE" w:rsidRDefault="00F01333" w:rsidP="001E3A55">
      <w:pPr>
        <w:ind w:firstLine="1701"/>
        <w:jc w:val="both"/>
        <w:rPr>
          <w:rFonts w:asciiTheme="minorHAnsi" w:hAnsiTheme="minorHAnsi"/>
          <w:sz w:val="23"/>
          <w:szCs w:val="23"/>
        </w:rPr>
      </w:pPr>
      <w:r w:rsidRPr="003C6FEE">
        <w:rPr>
          <w:rFonts w:asciiTheme="minorHAnsi" w:hAnsiTheme="minorHAnsi"/>
          <w:sz w:val="23"/>
          <w:szCs w:val="23"/>
        </w:rPr>
        <w:t>Art. 1º</w:t>
      </w:r>
      <w:r w:rsidR="00073220" w:rsidRPr="003C6FEE">
        <w:rPr>
          <w:rFonts w:asciiTheme="minorHAnsi" w:hAnsiTheme="minorHAnsi"/>
          <w:sz w:val="23"/>
          <w:szCs w:val="23"/>
        </w:rPr>
        <w:t xml:space="preserve"> A Secretaria </w:t>
      </w:r>
      <w:r w:rsidR="008613DA" w:rsidRPr="003C6FEE">
        <w:rPr>
          <w:rFonts w:asciiTheme="minorHAnsi" w:hAnsiTheme="minorHAnsi"/>
          <w:sz w:val="23"/>
          <w:szCs w:val="23"/>
        </w:rPr>
        <w:t xml:space="preserve">de Município </w:t>
      </w:r>
      <w:r w:rsidR="00073220" w:rsidRPr="003C6FEE">
        <w:rPr>
          <w:rFonts w:asciiTheme="minorHAnsi" w:hAnsiTheme="minorHAnsi"/>
          <w:sz w:val="23"/>
          <w:szCs w:val="23"/>
        </w:rPr>
        <w:t xml:space="preserve">de Mobilidade Urbana realizará os levantamentos técnicos estabelecidos na planilha de cálculo tarifário, aferindo o custo operacional do </w:t>
      </w:r>
      <w:r w:rsidR="008613DA" w:rsidRPr="003C6FEE">
        <w:rPr>
          <w:rFonts w:asciiTheme="minorHAnsi" w:hAnsiTheme="minorHAnsi"/>
          <w:sz w:val="23"/>
          <w:szCs w:val="23"/>
        </w:rPr>
        <w:t>S</w:t>
      </w:r>
      <w:r w:rsidR="00073220" w:rsidRPr="003C6FEE">
        <w:rPr>
          <w:rFonts w:asciiTheme="minorHAnsi" w:hAnsiTheme="minorHAnsi"/>
          <w:sz w:val="23"/>
          <w:szCs w:val="23"/>
        </w:rPr>
        <w:t>istema de Transporte Coletivo por ônibus a fim de indicar a tarifa a ser fixada pelo Prefeito Municipal.</w:t>
      </w: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 xml:space="preserve">Parágrafo único. A planilha de </w:t>
      </w:r>
      <w:r w:rsidR="008613DA" w:rsidRPr="003C6FEE">
        <w:rPr>
          <w:rFonts w:asciiTheme="minorHAnsi" w:hAnsiTheme="minorHAnsi"/>
          <w:sz w:val="23"/>
          <w:szCs w:val="23"/>
        </w:rPr>
        <w:t xml:space="preserve">cálculo tarifário referida no </w:t>
      </w:r>
      <w:r w:rsidR="008613DA" w:rsidRPr="003C6FEE">
        <w:rPr>
          <w:rFonts w:asciiTheme="minorHAnsi" w:hAnsiTheme="minorHAnsi"/>
          <w:i/>
          <w:sz w:val="23"/>
          <w:szCs w:val="23"/>
        </w:rPr>
        <w:t>c</w:t>
      </w:r>
      <w:r w:rsidRPr="003C6FEE">
        <w:rPr>
          <w:rFonts w:asciiTheme="minorHAnsi" w:hAnsiTheme="minorHAnsi"/>
          <w:i/>
          <w:sz w:val="23"/>
          <w:szCs w:val="23"/>
        </w:rPr>
        <w:t>aput</w:t>
      </w:r>
      <w:r w:rsidRPr="003C6FEE">
        <w:rPr>
          <w:rFonts w:asciiTheme="minorHAnsi" w:hAnsiTheme="minorHAnsi"/>
          <w:sz w:val="23"/>
          <w:szCs w:val="23"/>
        </w:rPr>
        <w:t xml:space="preserve"> deste artigo deverá ser apreciada previamente pelo Conselho Municipal de Transportes Urbanos antes da homologação da tarifa pelo Prefeito Municipal.</w:t>
      </w:r>
    </w:p>
    <w:p w:rsidR="00F7552B" w:rsidRPr="003C6FEE" w:rsidRDefault="00F7552B" w:rsidP="001E3A55">
      <w:pPr>
        <w:ind w:firstLine="1701"/>
        <w:jc w:val="both"/>
        <w:rPr>
          <w:rFonts w:asciiTheme="minorHAnsi" w:hAnsiTheme="minorHAnsi"/>
          <w:sz w:val="23"/>
          <w:szCs w:val="23"/>
        </w:rPr>
      </w:pPr>
    </w:p>
    <w:p w:rsidR="00073220" w:rsidRPr="003C6FEE" w:rsidRDefault="00073220" w:rsidP="001E3A55">
      <w:pPr>
        <w:tabs>
          <w:tab w:val="left" w:pos="1701"/>
        </w:tabs>
        <w:ind w:firstLine="1701"/>
        <w:jc w:val="both"/>
        <w:rPr>
          <w:rFonts w:asciiTheme="minorHAnsi" w:hAnsiTheme="minorHAnsi"/>
          <w:sz w:val="23"/>
          <w:szCs w:val="23"/>
        </w:rPr>
      </w:pPr>
      <w:r w:rsidRPr="003C6FEE">
        <w:rPr>
          <w:rFonts w:asciiTheme="minorHAnsi" w:hAnsiTheme="minorHAnsi"/>
          <w:sz w:val="23"/>
          <w:szCs w:val="23"/>
        </w:rPr>
        <w:t>Art. 2º A metodologia de cálculo do custo operac</w:t>
      </w:r>
      <w:r w:rsidR="008613DA" w:rsidRPr="003C6FEE">
        <w:rPr>
          <w:rFonts w:asciiTheme="minorHAnsi" w:hAnsiTheme="minorHAnsi"/>
          <w:sz w:val="23"/>
          <w:szCs w:val="23"/>
        </w:rPr>
        <w:t>ional do Sistema de Transporte C</w:t>
      </w:r>
      <w:r w:rsidRPr="003C6FEE">
        <w:rPr>
          <w:rFonts w:asciiTheme="minorHAnsi" w:hAnsiTheme="minorHAnsi"/>
          <w:sz w:val="23"/>
          <w:szCs w:val="23"/>
        </w:rPr>
        <w:t>oletivo por ônibus deverá seguir uma estrutura básica:</w:t>
      </w:r>
    </w:p>
    <w:p w:rsidR="00073220" w:rsidRPr="003C6FEE" w:rsidRDefault="001D1DD8" w:rsidP="001E3A55">
      <w:pPr>
        <w:tabs>
          <w:tab w:val="left" w:pos="0"/>
        </w:tabs>
        <w:ind w:firstLine="1701"/>
        <w:jc w:val="both"/>
        <w:rPr>
          <w:rFonts w:asciiTheme="minorHAnsi" w:hAnsiTheme="minorHAnsi"/>
          <w:sz w:val="23"/>
          <w:szCs w:val="23"/>
        </w:rPr>
      </w:pPr>
      <w:r w:rsidRPr="003C6FEE">
        <w:rPr>
          <w:rFonts w:asciiTheme="minorHAnsi" w:hAnsiTheme="minorHAnsi"/>
          <w:sz w:val="23"/>
          <w:szCs w:val="23"/>
        </w:rPr>
        <w:t>a) Custos V</w:t>
      </w:r>
      <w:r w:rsidR="00073220" w:rsidRPr="003C6FEE">
        <w:rPr>
          <w:rFonts w:asciiTheme="minorHAnsi" w:hAnsiTheme="minorHAnsi"/>
          <w:sz w:val="23"/>
          <w:szCs w:val="23"/>
        </w:rPr>
        <w:t>ariáveis: Combustível, óleos, lubrificantes e rodagem</w:t>
      </w:r>
      <w:r w:rsidR="008613DA" w:rsidRPr="003C6FEE">
        <w:rPr>
          <w:rFonts w:asciiTheme="minorHAnsi" w:hAnsiTheme="minorHAnsi"/>
          <w:sz w:val="23"/>
          <w:szCs w:val="23"/>
        </w:rPr>
        <w:t>;</w:t>
      </w:r>
    </w:p>
    <w:p w:rsidR="00073220" w:rsidRPr="003C6FEE" w:rsidRDefault="00B36430" w:rsidP="00B36430">
      <w:pPr>
        <w:tabs>
          <w:tab w:val="left" w:pos="0"/>
        </w:tabs>
        <w:ind w:firstLine="1701"/>
        <w:jc w:val="both"/>
        <w:rPr>
          <w:rFonts w:asciiTheme="minorHAnsi" w:hAnsiTheme="minorHAnsi"/>
          <w:sz w:val="23"/>
          <w:szCs w:val="23"/>
        </w:rPr>
      </w:pPr>
      <w:r w:rsidRPr="003C6FEE">
        <w:rPr>
          <w:rFonts w:asciiTheme="minorHAnsi" w:hAnsiTheme="minorHAnsi"/>
          <w:sz w:val="23"/>
          <w:szCs w:val="23"/>
        </w:rPr>
        <w:t>b)</w:t>
      </w:r>
      <w:r w:rsidR="00C241EA" w:rsidRPr="003C6FEE">
        <w:rPr>
          <w:rFonts w:asciiTheme="minorHAnsi" w:hAnsiTheme="minorHAnsi"/>
          <w:sz w:val="23"/>
          <w:szCs w:val="23"/>
        </w:rPr>
        <w:t xml:space="preserve"> </w:t>
      </w:r>
      <w:r w:rsidR="001D1DD8" w:rsidRPr="003C6FEE">
        <w:rPr>
          <w:rFonts w:asciiTheme="minorHAnsi" w:hAnsiTheme="minorHAnsi"/>
          <w:sz w:val="23"/>
          <w:szCs w:val="23"/>
        </w:rPr>
        <w:t>C</w:t>
      </w:r>
      <w:r w:rsidR="00073220" w:rsidRPr="003C6FEE">
        <w:rPr>
          <w:rFonts w:asciiTheme="minorHAnsi" w:hAnsiTheme="minorHAnsi"/>
          <w:sz w:val="23"/>
          <w:szCs w:val="23"/>
        </w:rPr>
        <w:t xml:space="preserve">ustos </w:t>
      </w:r>
      <w:r w:rsidR="001D1DD8" w:rsidRPr="003C6FEE">
        <w:rPr>
          <w:rFonts w:asciiTheme="minorHAnsi" w:hAnsiTheme="minorHAnsi"/>
          <w:sz w:val="23"/>
          <w:szCs w:val="23"/>
        </w:rPr>
        <w:t>Fixos: Custo de C</w:t>
      </w:r>
      <w:r w:rsidR="00073220" w:rsidRPr="003C6FEE">
        <w:rPr>
          <w:rFonts w:asciiTheme="minorHAnsi" w:hAnsiTheme="minorHAnsi"/>
          <w:sz w:val="23"/>
          <w:szCs w:val="23"/>
        </w:rPr>
        <w:t>apital, depreciação, remuneração, peças e acessórios, despesas com pessoal de operação, manutenção e despesas administrativas;</w:t>
      </w:r>
    </w:p>
    <w:p w:rsidR="00073220" w:rsidRPr="003C6FEE" w:rsidRDefault="00B36430" w:rsidP="00B36430">
      <w:pPr>
        <w:tabs>
          <w:tab w:val="left" w:pos="0"/>
        </w:tabs>
        <w:ind w:firstLine="1701"/>
        <w:jc w:val="both"/>
        <w:rPr>
          <w:rFonts w:asciiTheme="minorHAnsi" w:hAnsiTheme="minorHAnsi"/>
          <w:sz w:val="23"/>
          <w:szCs w:val="23"/>
        </w:rPr>
      </w:pPr>
      <w:r w:rsidRPr="003C6FEE">
        <w:rPr>
          <w:rFonts w:asciiTheme="minorHAnsi" w:hAnsiTheme="minorHAnsi"/>
          <w:sz w:val="23"/>
          <w:szCs w:val="23"/>
        </w:rPr>
        <w:t>c)</w:t>
      </w:r>
      <w:r w:rsidR="00C241EA" w:rsidRPr="003C6FEE">
        <w:rPr>
          <w:rFonts w:asciiTheme="minorHAnsi" w:hAnsiTheme="minorHAnsi"/>
          <w:sz w:val="23"/>
          <w:szCs w:val="23"/>
        </w:rPr>
        <w:t xml:space="preserve"> </w:t>
      </w:r>
      <w:r w:rsidR="001D1DD8" w:rsidRPr="003C6FEE">
        <w:rPr>
          <w:rFonts w:asciiTheme="minorHAnsi" w:hAnsiTheme="minorHAnsi"/>
          <w:sz w:val="23"/>
          <w:szCs w:val="23"/>
        </w:rPr>
        <w:t>C</w:t>
      </w:r>
      <w:r w:rsidR="00073220" w:rsidRPr="003C6FEE">
        <w:rPr>
          <w:rFonts w:asciiTheme="minorHAnsi" w:hAnsiTheme="minorHAnsi"/>
          <w:sz w:val="23"/>
          <w:szCs w:val="23"/>
        </w:rPr>
        <w:t>usto Total: Custo Fixo + custo variável.</w:t>
      </w:r>
    </w:p>
    <w:p w:rsidR="00F7552B" w:rsidRPr="003C6FEE" w:rsidRDefault="00F7552B" w:rsidP="00050C2A">
      <w:pPr>
        <w:pStyle w:val="PargrafodaLista"/>
        <w:tabs>
          <w:tab w:val="left" w:pos="0"/>
          <w:tab w:val="left" w:pos="1701"/>
        </w:tabs>
        <w:ind w:left="0"/>
        <w:jc w:val="both"/>
        <w:rPr>
          <w:rFonts w:asciiTheme="minorHAnsi" w:hAnsiTheme="minorHAnsi"/>
          <w:b/>
          <w:sz w:val="23"/>
          <w:szCs w:val="23"/>
        </w:rPr>
      </w:pPr>
    </w:p>
    <w:p w:rsidR="00073220" w:rsidRPr="003C6FEE" w:rsidRDefault="001D1DD8" w:rsidP="001E3A55">
      <w:pPr>
        <w:ind w:firstLine="1701"/>
        <w:jc w:val="both"/>
        <w:rPr>
          <w:rFonts w:asciiTheme="minorHAnsi" w:hAnsiTheme="minorHAnsi"/>
          <w:b/>
          <w:sz w:val="23"/>
          <w:szCs w:val="23"/>
        </w:rPr>
      </w:pPr>
      <w:r w:rsidRPr="003C6FEE">
        <w:rPr>
          <w:rFonts w:asciiTheme="minorHAnsi" w:hAnsiTheme="minorHAnsi"/>
          <w:sz w:val="23"/>
          <w:szCs w:val="23"/>
        </w:rPr>
        <w:t>Art. 3º Os Custos V</w:t>
      </w:r>
      <w:r w:rsidR="00073220" w:rsidRPr="003C6FEE">
        <w:rPr>
          <w:rFonts w:asciiTheme="minorHAnsi" w:hAnsiTheme="minorHAnsi"/>
          <w:sz w:val="23"/>
          <w:szCs w:val="23"/>
        </w:rPr>
        <w:t>ariáveis são aqueles que variam em função da quilometragem rodada pela frota, constituídos pelas despesas com consumo de combustível, lubrificantes e rodagem.</w:t>
      </w:r>
    </w:p>
    <w:p w:rsidR="00073220" w:rsidRPr="003C6FEE" w:rsidRDefault="00F7552B" w:rsidP="001E3A55">
      <w:pPr>
        <w:spacing w:after="200"/>
        <w:ind w:firstLine="1701"/>
        <w:jc w:val="both"/>
        <w:rPr>
          <w:rFonts w:asciiTheme="minorHAnsi" w:hAnsiTheme="minorHAnsi"/>
          <w:sz w:val="23"/>
          <w:szCs w:val="23"/>
        </w:rPr>
      </w:pPr>
      <w:r w:rsidRPr="003C6FEE">
        <w:rPr>
          <w:rFonts w:asciiTheme="minorHAnsi" w:hAnsiTheme="minorHAnsi"/>
          <w:sz w:val="23"/>
          <w:szCs w:val="23"/>
        </w:rPr>
        <w:t>§</w:t>
      </w:r>
      <w:r w:rsidR="00073220" w:rsidRPr="003C6FEE">
        <w:rPr>
          <w:rFonts w:asciiTheme="minorHAnsi" w:hAnsiTheme="minorHAnsi"/>
          <w:sz w:val="23"/>
          <w:szCs w:val="23"/>
        </w:rPr>
        <w:t xml:space="preserve">1º O consumo de combustível será medido pela Secretaria de </w:t>
      </w:r>
      <w:r w:rsidR="008613DA" w:rsidRPr="003C6FEE">
        <w:rPr>
          <w:rFonts w:asciiTheme="minorHAnsi" w:hAnsiTheme="minorHAnsi"/>
          <w:sz w:val="23"/>
          <w:szCs w:val="23"/>
        </w:rPr>
        <w:t xml:space="preserve">Município de </w:t>
      </w:r>
      <w:r w:rsidR="00073220" w:rsidRPr="003C6FEE">
        <w:rPr>
          <w:rFonts w:asciiTheme="minorHAnsi" w:hAnsiTheme="minorHAnsi"/>
          <w:sz w:val="23"/>
          <w:szCs w:val="23"/>
        </w:rPr>
        <w:t>Mobilidade Urbana através de levantamentos realizados nas empresas concessionárias, c</w:t>
      </w:r>
      <w:r w:rsidR="008613DA" w:rsidRPr="003C6FEE">
        <w:rPr>
          <w:rFonts w:asciiTheme="minorHAnsi" w:hAnsiTheme="minorHAnsi"/>
          <w:sz w:val="23"/>
          <w:szCs w:val="23"/>
        </w:rPr>
        <w:t xml:space="preserve">onsiderando-se a amostragem de </w:t>
      </w:r>
      <w:r w:rsidR="00073220" w:rsidRPr="003C6FEE">
        <w:rPr>
          <w:rFonts w:asciiTheme="minorHAnsi" w:hAnsiTheme="minorHAnsi"/>
          <w:sz w:val="23"/>
          <w:szCs w:val="23"/>
        </w:rPr>
        <w:t xml:space="preserve">3 (três) categorias de veículos para esse fim. As medidas de consumo de combustível por quilômetro, para fins de cálculo </w:t>
      </w:r>
      <w:r w:rsidR="008613DA" w:rsidRPr="003C6FEE">
        <w:rPr>
          <w:rFonts w:asciiTheme="minorHAnsi" w:hAnsiTheme="minorHAnsi"/>
          <w:sz w:val="23"/>
          <w:szCs w:val="23"/>
        </w:rPr>
        <w:t>tarifário, são apresentadas no Q</w:t>
      </w:r>
      <w:r w:rsidR="00073220" w:rsidRPr="003C6FEE">
        <w:rPr>
          <w:rFonts w:asciiTheme="minorHAnsi" w:hAnsiTheme="minorHAnsi"/>
          <w:sz w:val="23"/>
          <w:szCs w:val="23"/>
        </w:rPr>
        <w:t>uadro 1.</w:t>
      </w:r>
    </w:p>
    <w:p w:rsidR="00073220" w:rsidRPr="003C6FEE" w:rsidRDefault="00073220" w:rsidP="008613DA">
      <w:pPr>
        <w:spacing w:after="200"/>
        <w:ind w:left="708"/>
        <w:rPr>
          <w:rFonts w:asciiTheme="minorHAnsi" w:hAnsiTheme="minorHAnsi"/>
          <w:sz w:val="23"/>
          <w:szCs w:val="23"/>
        </w:rPr>
      </w:pPr>
      <w:r w:rsidRPr="003C6FEE">
        <w:rPr>
          <w:rFonts w:asciiTheme="minorHAnsi" w:hAnsiTheme="minorHAnsi"/>
          <w:sz w:val="23"/>
          <w:szCs w:val="23"/>
        </w:rPr>
        <w:t xml:space="preserve">QUADRO 1: Coeficiente de consumo </w:t>
      </w:r>
      <w:proofErr w:type="gramStart"/>
      <w:r w:rsidRPr="003C6FEE">
        <w:rPr>
          <w:rFonts w:asciiTheme="minorHAnsi" w:hAnsiTheme="minorHAnsi"/>
          <w:sz w:val="23"/>
          <w:szCs w:val="23"/>
        </w:rPr>
        <w:t xml:space="preserve">de  </w:t>
      </w:r>
      <w:r w:rsidR="00B36430" w:rsidRPr="003C6FEE">
        <w:rPr>
          <w:rFonts w:asciiTheme="minorHAnsi" w:hAnsiTheme="minorHAnsi"/>
          <w:sz w:val="23"/>
          <w:szCs w:val="23"/>
        </w:rPr>
        <w:t>c</w:t>
      </w:r>
      <w:r w:rsidRPr="003C6FEE">
        <w:rPr>
          <w:rFonts w:asciiTheme="minorHAnsi" w:hAnsiTheme="minorHAnsi"/>
          <w:sz w:val="23"/>
          <w:szCs w:val="23"/>
        </w:rPr>
        <w:t>ombustível</w:t>
      </w:r>
      <w:proofErr w:type="gramEnd"/>
      <w:r w:rsidRPr="003C6FEE">
        <w:rPr>
          <w:rFonts w:asciiTheme="minorHAnsi" w:hAnsiTheme="minorHAnsi"/>
          <w:sz w:val="23"/>
          <w:szCs w:val="23"/>
        </w:rPr>
        <w:t xml:space="preserve"> por categoria de veículo</w:t>
      </w:r>
    </w:p>
    <w:tbl>
      <w:tblPr>
        <w:tblW w:w="0" w:type="auto"/>
        <w:jc w:val="center"/>
        <w:tblLayout w:type="fixed"/>
        <w:tblCellMar>
          <w:left w:w="70" w:type="dxa"/>
          <w:right w:w="70" w:type="dxa"/>
        </w:tblCellMar>
        <w:tblLook w:val="0000" w:firstRow="0" w:lastRow="0" w:firstColumn="0" w:lastColumn="0" w:noHBand="0" w:noVBand="0"/>
      </w:tblPr>
      <w:tblGrid>
        <w:gridCol w:w="2331"/>
        <w:gridCol w:w="2006"/>
        <w:gridCol w:w="1920"/>
        <w:gridCol w:w="2370"/>
      </w:tblGrid>
      <w:tr w:rsidR="00073220" w:rsidRPr="003C6FEE" w:rsidTr="008613DA">
        <w:trPr>
          <w:trHeight w:val="510"/>
          <w:jc w:val="center"/>
        </w:trPr>
        <w:tc>
          <w:tcPr>
            <w:tcW w:w="2331"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Categoria</w:t>
            </w:r>
          </w:p>
        </w:tc>
        <w:tc>
          <w:tcPr>
            <w:tcW w:w="2006"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Tipo Veículo</w:t>
            </w:r>
          </w:p>
        </w:tc>
        <w:tc>
          <w:tcPr>
            <w:tcW w:w="1920"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Posição Motor</w:t>
            </w:r>
          </w:p>
        </w:tc>
        <w:tc>
          <w:tcPr>
            <w:tcW w:w="2370" w:type="dxa"/>
            <w:tcBorders>
              <w:top w:val="single" w:sz="3" w:space="0" w:color="000000"/>
              <w:left w:val="single" w:sz="3" w:space="0" w:color="000000"/>
              <w:bottom w:val="single" w:sz="3" w:space="0" w:color="000000"/>
              <w:right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Coeficiente (l/Km)</w:t>
            </w:r>
          </w:p>
        </w:tc>
      </w:tr>
      <w:tr w:rsidR="00073220" w:rsidRPr="003C6FEE" w:rsidTr="008613DA">
        <w:trPr>
          <w:trHeight w:val="258"/>
          <w:jc w:val="center"/>
        </w:trPr>
        <w:tc>
          <w:tcPr>
            <w:tcW w:w="2331"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1</w:t>
            </w:r>
          </w:p>
        </w:tc>
        <w:tc>
          <w:tcPr>
            <w:tcW w:w="2006"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Leve até 200cv</w:t>
            </w:r>
          </w:p>
        </w:tc>
        <w:tc>
          <w:tcPr>
            <w:tcW w:w="1920"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Dianteiro</w:t>
            </w:r>
          </w:p>
        </w:tc>
        <w:tc>
          <w:tcPr>
            <w:tcW w:w="2370" w:type="dxa"/>
            <w:tcBorders>
              <w:top w:val="single" w:sz="3" w:space="0" w:color="000000"/>
              <w:left w:val="single" w:sz="3" w:space="0" w:color="000000"/>
              <w:bottom w:val="single" w:sz="3" w:space="0" w:color="000000"/>
              <w:right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0,3828</w:t>
            </w:r>
          </w:p>
        </w:tc>
      </w:tr>
      <w:tr w:rsidR="00073220" w:rsidRPr="003C6FEE" w:rsidTr="008613DA">
        <w:trPr>
          <w:trHeight w:val="492"/>
          <w:jc w:val="center"/>
        </w:trPr>
        <w:tc>
          <w:tcPr>
            <w:tcW w:w="2331"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2</w:t>
            </w:r>
          </w:p>
        </w:tc>
        <w:tc>
          <w:tcPr>
            <w:tcW w:w="2006"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Pesado acima 200cv</w:t>
            </w:r>
          </w:p>
        </w:tc>
        <w:tc>
          <w:tcPr>
            <w:tcW w:w="1920"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Dianteiro</w:t>
            </w:r>
          </w:p>
        </w:tc>
        <w:tc>
          <w:tcPr>
            <w:tcW w:w="2370" w:type="dxa"/>
            <w:tcBorders>
              <w:top w:val="single" w:sz="3" w:space="0" w:color="000000"/>
              <w:left w:val="single" w:sz="3" w:space="0" w:color="000000"/>
              <w:bottom w:val="single" w:sz="3" w:space="0" w:color="000000"/>
              <w:right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0,3839</w:t>
            </w:r>
          </w:p>
        </w:tc>
      </w:tr>
      <w:tr w:rsidR="00073220" w:rsidRPr="003C6FEE" w:rsidTr="008613DA">
        <w:trPr>
          <w:trHeight w:val="268"/>
          <w:jc w:val="center"/>
        </w:trPr>
        <w:tc>
          <w:tcPr>
            <w:tcW w:w="2331"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3</w:t>
            </w:r>
          </w:p>
        </w:tc>
        <w:tc>
          <w:tcPr>
            <w:tcW w:w="2006"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Esp</w:t>
            </w:r>
            <w:r w:rsidR="008613DA" w:rsidRPr="003C6FEE">
              <w:rPr>
                <w:rFonts w:asciiTheme="minorHAnsi" w:hAnsiTheme="minorHAnsi"/>
                <w:sz w:val="23"/>
                <w:szCs w:val="23"/>
              </w:rPr>
              <w:t>.</w:t>
            </w:r>
            <w:r w:rsidRPr="003C6FEE">
              <w:rPr>
                <w:rFonts w:asciiTheme="minorHAnsi" w:hAnsiTheme="minorHAnsi"/>
                <w:sz w:val="23"/>
                <w:szCs w:val="23"/>
              </w:rPr>
              <w:t xml:space="preserve"> Articulado</w:t>
            </w:r>
          </w:p>
        </w:tc>
        <w:tc>
          <w:tcPr>
            <w:tcW w:w="1920" w:type="dxa"/>
            <w:tcBorders>
              <w:top w:val="single" w:sz="3" w:space="0" w:color="000000"/>
              <w:left w:val="single" w:sz="3" w:space="0" w:color="000000"/>
              <w:bottom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Dianteiro</w:t>
            </w:r>
          </w:p>
        </w:tc>
        <w:tc>
          <w:tcPr>
            <w:tcW w:w="2370" w:type="dxa"/>
            <w:tcBorders>
              <w:top w:val="single" w:sz="3" w:space="0" w:color="000000"/>
              <w:left w:val="single" w:sz="3" w:space="0" w:color="000000"/>
              <w:bottom w:val="single" w:sz="3" w:space="0" w:color="000000"/>
              <w:right w:val="single" w:sz="3" w:space="0" w:color="000000"/>
            </w:tcBorders>
            <w:shd w:val="clear" w:color="auto" w:fill="FFFFFF"/>
          </w:tcPr>
          <w:p w:rsidR="00073220" w:rsidRPr="003C6FEE" w:rsidRDefault="00073220" w:rsidP="001E3A55">
            <w:pPr>
              <w:spacing w:after="200"/>
              <w:jc w:val="center"/>
              <w:rPr>
                <w:rFonts w:asciiTheme="minorHAnsi" w:hAnsiTheme="minorHAnsi"/>
                <w:sz w:val="23"/>
                <w:szCs w:val="23"/>
              </w:rPr>
            </w:pPr>
            <w:r w:rsidRPr="003C6FEE">
              <w:rPr>
                <w:rFonts w:asciiTheme="minorHAnsi" w:hAnsiTheme="minorHAnsi"/>
                <w:sz w:val="23"/>
                <w:szCs w:val="23"/>
              </w:rPr>
              <w:t>0,5470</w:t>
            </w:r>
          </w:p>
        </w:tc>
      </w:tr>
    </w:tbl>
    <w:p w:rsidR="00073220" w:rsidRPr="003C6FEE" w:rsidRDefault="00073220" w:rsidP="001E3A55">
      <w:pPr>
        <w:jc w:val="both"/>
        <w:rPr>
          <w:rFonts w:asciiTheme="minorHAnsi" w:hAnsiTheme="minorHAnsi"/>
          <w:sz w:val="23"/>
          <w:szCs w:val="23"/>
        </w:rPr>
      </w:pPr>
    </w:p>
    <w:p w:rsidR="00BC79C1" w:rsidRPr="003C6FEE" w:rsidRDefault="00F7552B" w:rsidP="001E3A55">
      <w:pPr>
        <w:tabs>
          <w:tab w:val="left" w:pos="1701"/>
        </w:tabs>
        <w:jc w:val="both"/>
        <w:rPr>
          <w:rFonts w:asciiTheme="minorHAnsi" w:hAnsiTheme="minorHAnsi"/>
          <w:b/>
          <w:bCs/>
          <w:sz w:val="23"/>
          <w:szCs w:val="23"/>
        </w:rPr>
      </w:pPr>
      <w:r w:rsidRPr="003C6FEE">
        <w:rPr>
          <w:rFonts w:asciiTheme="minorHAnsi" w:hAnsiTheme="minorHAnsi"/>
          <w:b/>
          <w:bCs/>
          <w:sz w:val="23"/>
          <w:szCs w:val="23"/>
        </w:rPr>
        <w:lastRenderedPageBreak/>
        <w:tab/>
      </w:r>
      <w:r w:rsidR="00073220" w:rsidRPr="003C6FEE">
        <w:rPr>
          <w:rFonts w:asciiTheme="minorHAnsi" w:hAnsiTheme="minorHAnsi"/>
          <w:bCs/>
          <w:sz w:val="23"/>
          <w:szCs w:val="23"/>
        </w:rPr>
        <w:t>§2º</w:t>
      </w:r>
      <w:r w:rsidR="00073220" w:rsidRPr="003C6FEE">
        <w:rPr>
          <w:rFonts w:asciiTheme="minorHAnsi" w:hAnsiTheme="minorHAnsi"/>
          <w:sz w:val="23"/>
          <w:szCs w:val="23"/>
        </w:rPr>
        <w:t xml:space="preserve"> O consumo de óleo do motor, óleo de caixa, óleo diferencial, fluídos de freio e embreagem, graxas, será equivalente ao consumo de óleo diesel, fixando-se o coeficiente de 0,0414 l/Km</w:t>
      </w:r>
      <w:r w:rsidR="0044401C" w:rsidRPr="003C6FEE">
        <w:rPr>
          <w:rFonts w:asciiTheme="minorHAnsi" w:hAnsiTheme="minorHAnsi"/>
          <w:sz w:val="23"/>
          <w:szCs w:val="23"/>
        </w:rPr>
        <w:t>.</w:t>
      </w:r>
    </w:p>
    <w:p w:rsidR="00BC79C1" w:rsidRPr="003C6FEE" w:rsidRDefault="00F7552B" w:rsidP="001E3A55">
      <w:pPr>
        <w:tabs>
          <w:tab w:val="left" w:pos="1701"/>
        </w:tabs>
        <w:ind w:firstLine="1701"/>
        <w:jc w:val="both"/>
        <w:rPr>
          <w:rFonts w:asciiTheme="minorHAnsi" w:hAnsiTheme="minorHAnsi"/>
          <w:sz w:val="23"/>
          <w:szCs w:val="23"/>
        </w:rPr>
      </w:pPr>
      <w:r w:rsidRPr="003C6FEE">
        <w:rPr>
          <w:rFonts w:asciiTheme="minorHAnsi" w:hAnsiTheme="minorHAnsi"/>
          <w:bCs/>
          <w:sz w:val="23"/>
          <w:szCs w:val="23"/>
        </w:rPr>
        <w:t>§</w:t>
      </w:r>
      <w:r w:rsidR="00073220" w:rsidRPr="003C6FEE">
        <w:rPr>
          <w:rFonts w:asciiTheme="minorHAnsi" w:hAnsiTheme="minorHAnsi"/>
          <w:bCs/>
          <w:sz w:val="23"/>
          <w:szCs w:val="23"/>
        </w:rPr>
        <w:t>3º</w:t>
      </w:r>
      <w:r w:rsidR="00073220" w:rsidRPr="003C6FEE">
        <w:rPr>
          <w:rFonts w:asciiTheme="minorHAnsi" w:hAnsiTheme="minorHAnsi"/>
          <w:sz w:val="23"/>
          <w:szCs w:val="23"/>
        </w:rPr>
        <w:t xml:space="preserve"> O custo com a rodagem será calculado levando-se em conta a utilização de:</w:t>
      </w:r>
    </w:p>
    <w:p w:rsidR="00073220" w:rsidRPr="003C6FEE" w:rsidRDefault="00F7552B" w:rsidP="001E3A55">
      <w:pPr>
        <w:tabs>
          <w:tab w:val="left" w:pos="0"/>
        </w:tabs>
        <w:ind w:firstLine="1701"/>
        <w:jc w:val="both"/>
        <w:rPr>
          <w:rFonts w:asciiTheme="minorHAnsi" w:hAnsiTheme="minorHAnsi"/>
          <w:sz w:val="23"/>
          <w:szCs w:val="23"/>
        </w:rPr>
      </w:pPr>
      <w:r w:rsidRPr="003C6FEE">
        <w:rPr>
          <w:rFonts w:asciiTheme="minorHAnsi" w:hAnsiTheme="minorHAnsi"/>
          <w:sz w:val="23"/>
          <w:szCs w:val="23"/>
        </w:rPr>
        <w:t xml:space="preserve">I - </w:t>
      </w:r>
      <w:r w:rsidR="00073220" w:rsidRPr="003C6FEE">
        <w:rPr>
          <w:rFonts w:asciiTheme="minorHAnsi" w:hAnsiTheme="minorHAnsi"/>
          <w:sz w:val="23"/>
          <w:szCs w:val="23"/>
        </w:rPr>
        <w:t>6 (seis) pneus radiais e 02 (duas) recapagens para cada pneu, tanto nos veículos leves quanto nos pesados;</w:t>
      </w:r>
    </w:p>
    <w:p w:rsidR="001D1DD8" w:rsidRPr="003C6FEE" w:rsidRDefault="00F7552B" w:rsidP="001E3A55">
      <w:pPr>
        <w:tabs>
          <w:tab w:val="left" w:pos="0"/>
        </w:tabs>
        <w:ind w:firstLine="1701"/>
        <w:jc w:val="both"/>
        <w:rPr>
          <w:rFonts w:asciiTheme="minorHAnsi" w:hAnsiTheme="minorHAnsi"/>
          <w:sz w:val="23"/>
          <w:szCs w:val="23"/>
        </w:rPr>
      </w:pPr>
      <w:r w:rsidRPr="003C6FEE">
        <w:rPr>
          <w:rFonts w:asciiTheme="minorHAnsi" w:hAnsiTheme="minorHAnsi"/>
          <w:sz w:val="23"/>
          <w:szCs w:val="23"/>
        </w:rPr>
        <w:t xml:space="preserve">II - </w:t>
      </w:r>
      <w:r w:rsidR="00016E74" w:rsidRPr="003C6FEE">
        <w:rPr>
          <w:rFonts w:asciiTheme="minorHAnsi" w:hAnsiTheme="minorHAnsi"/>
          <w:sz w:val="23"/>
          <w:szCs w:val="23"/>
        </w:rPr>
        <w:t>10 (d</w:t>
      </w:r>
      <w:r w:rsidR="00073220" w:rsidRPr="003C6FEE">
        <w:rPr>
          <w:rFonts w:asciiTheme="minorHAnsi" w:hAnsiTheme="minorHAnsi"/>
          <w:sz w:val="23"/>
          <w:szCs w:val="23"/>
        </w:rPr>
        <w:t>ez) pneus radiais e 02 (duas) recapagens para cada pneu, para os veículos especiais.</w:t>
      </w:r>
    </w:p>
    <w:p w:rsidR="00073220" w:rsidRPr="003C6FEE" w:rsidRDefault="00F7552B" w:rsidP="001E3A55">
      <w:pPr>
        <w:ind w:left="2484" w:hanging="783"/>
        <w:jc w:val="both"/>
        <w:rPr>
          <w:rFonts w:asciiTheme="minorHAnsi" w:hAnsiTheme="minorHAnsi"/>
          <w:sz w:val="23"/>
          <w:szCs w:val="23"/>
        </w:rPr>
      </w:pPr>
      <w:r w:rsidRPr="003C6FEE">
        <w:rPr>
          <w:rFonts w:asciiTheme="minorHAnsi" w:hAnsiTheme="minorHAnsi"/>
          <w:bCs/>
          <w:sz w:val="23"/>
          <w:szCs w:val="23"/>
        </w:rPr>
        <w:t>§</w:t>
      </w:r>
      <w:r w:rsidR="00073220" w:rsidRPr="003C6FEE">
        <w:rPr>
          <w:rFonts w:asciiTheme="minorHAnsi" w:hAnsiTheme="minorHAnsi"/>
          <w:bCs/>
          <w:sz w:val="23"/>
          <w:szCs w:val="23"/>
        </w:rPr>
        <w:t>4º</w:t>
      </w:r>
      <w:r w:rsidR="00073220" w:rsidRPr="003C6FEE">
        <w:rPr>
          <w:rFonts w:asciiTheme="minorHAnsi" w:hAnsiTheme="minorHAnsi"/>
          <w:sz w:val="23"/>
          <w:szCs w:val="23"/>
        </w:rPr>
        <w:t xml:space="preserve"> A vida útil dos pneus, é fixada em 120.000</w:t>
      </w:r>
      <w:r w:rsidR="0033164A" w:rsidRPr="003C6FEE">
        <w:rPr>
          <w:rFonts w:asciiTheme="minorHAnsi" w:hAnsiTheme="minorHAnsi"/>
          <w:sz w:val="23"/>
          <w:szCs w:val="23"/>
        </w:rPr>
        <w:t xml:space="preserve"> </w:t>
      </w:r>
      <w:r w:rsidR="00073220" w:rsidRPr="003C6FEE">
        <w:rPr>
          <w:rFonts w:asciiTheme="minorHAnsi" w:hAnsiTheme="minorHAnsi"/>
          <w:sz w:val="23"/>
          <w:szCs w:val="23"/>
        </w:rPr>
        <w:t>Km.</w:t>
      </w:r>
    </w:p>
    <w:p w:rsidR="00BC79C1" w:rsidRPr="003C6FEE" w:rsidRDefault="00BC79C1" w:rsidP="001E3A55">
      <w:pPr>
        <w:ind w:left="2484" w:hanging="783"/>
        <w:jc w:val="both"/>
        <w:rPr>
          <w:rFonts w:asciiTheme="minorHAnsi" w:hAnsiTheme="minorHAnsi"/>
          <w:b/>
          <w:bCs/>
          <w:sz w:val="23"/>
          <w:szCs w:val="23"/>
        </w:rPr>
      </w:pPr>
    </w:p>
    <w:p w:rsidR="00611230" w:rsidRPr="003C6FEE" w:rsidRDefault="00073220" w:rsidP="00611230">
      <w:pPr>
        <w:ind w:firstLine="1701"/>
        <w:jc w:val="both"/>
        <w:rPr>
          <w:rFonts w:asciiTheme="minorHAnsi" w:hAnsiTheme="minorHAnsi"/>
          <w:sz w:val="23"/>
          <w:szCs w:val="23"/>
        </w:rPr>
      </w:pPr>
      <w:r w:rsidRPr="003C6FEE">
        <w:rPr>
          <w:rFonts w:asciiTheme="minorHAnsi" w:hAnsiTheme="minorHAnsi"/>
          <w:bCs/>
          <w:sz w:val="23"/>
          <w:szCs w:val="23"/>
        </w:rPr>
        <w:t>Art. 4º</w:t>
      </w:r>
      <w:r w:rsidR="001D1DD8" w:rsidRPr="003C6FEE">
        <w:rPr>
          <w:rFonts w:asciiTheme="minorHAnsi" w:hAnsiTheme="minorHAnsi"/>
          <w:sz w:val="23"/>
          <w:szCs w:val="23"/>
        </w:rPr>
        <w:t xml:space="preserve"> Os Custos F</w:t>
      </w:r>
      <w:r w:rsidRPr="003C6FEE">
        <w:rPr>
          <w:rFonts w:asciiTheme="minorHAnsi" w:hAnsiTheme="minorHAnsi"/>
          <w:sz w:val="23"/>
          <w:szCs w:val="23"/>
        </w:rPr>
        <w:t>ixos são aqueles necessários à execução dos serviços, independentes da quilometragem rodada pela f</w:t>
      </w:r>
      <w:r w:rsidR="0044401C" w:rsidRPr="003C6FEE">
        <w:rPr>
          <w:rFonts w:asciiTheme="minorHAnsi" w:hAnsiTheme="minorHAnsi"/>
          <w:sz w:val="23"/>
          <w:szCs w:val="23"/>
        </w:rPr>
        <w:t>rota, compostos dos elementos: custo de capital, peças e acessórios, d</w:t>
      </w:r>
      <w:r w:rsidRPr="003C6FEE">
        <w:rPr>
          <w:rFonts w:asciiTheme="minorHAnsi" w:hAnsiTheme="minorHAnsi"/>
          <w:sz w:val="23"/>
          <w:szCs w:val="23"/>
        </w:rPr>
        <w:t>espesas com pessoal de operação e de manutenção e despesas administrativas.</w:t>
      </w:r>
    </w:p>
    <w:p w:rsidR="00073220" w:rsidRPr="003C6FEE" w:rsidRDefault="00BC79C1" w:rsidP="00611230">
      <w:pPr>
        <w:ind w:firstLine="1701"/>
        <w:jc w:val="both"/>
        <w:rPr>
          <w:rFonts w:asciiTheme="minorHAnsi" w:hAnsiTheme="minorHAnsi"/>
          <w:b/>
          <w:sz w:val="23"/>
          <w:szCs w:val="23"/>
        </w:rPr>
      </w:pPr>
      <w:r w:rsidRPr="003C6FEE">
        <w:rPr>
          <w:rFonts w:asciiTheme="minorHAnsi" w:hAnsiTheme="minorHAnsi"/>
          <w:bCs/>
          <w:sz w:val="23"/>
          <w:szCs w:val="23"/>
        </w:rPr>
        <w:t>§</w:t>
      </w:r>
      <w:r w:rsidR="00073220" w:rsidRPr="003C6FEE">
        <w:rPr>
          <w:rFonts w:asciiTheme="minorHAnsi" w:hAnsiTheme="minorHAnsi"/>
          <w:bCs/>
          <w:sz w:val="23"/>
          <w:szCs w:val="23"/>
        </w:rPr>
        <w:t>1º</w:t>
      </w:r>
      <w:r w:rsidR="00073220" w:rsidRPr="003C6FEE">
        <w:rPr>
          <w:rFonts w:asciiTheme="minorHAnsi" w:hAnsiTheme="minorHAnsi"/>
          <w:b/>
          <w:bCs/>
          <w:sz w:val="23"/>
          <w:szCs w:val="23"/>
        </w:rPr>
        <w:t xml:space="preserve"> </w:t>
      </w:r>
      <w:r w:rsidR="00611230" w:rsidRPr="003C6FEE">
        <w:rPr>
          <w:rFonts w:asciiTheme="minorHAnsi" w:hAnsiTheme="minorHAnsi"/>
          <w:sz w:val="23"/>
          <w:szCs w:val="23"/>
        </w:rPr>
        <w:t>Os c</w:t>
      </w:r>
      <w:r w:rsidR="001D1DD8" w:rsidRPr="003C6FEE">
        <w:rPr>
          <w:rFonts w:asciiTheme="minorHAnsi" w:hAnsiTheme="minorHAnsi"/>
          <w:sz w:val="23"/>
          <w:szCs w:val="23"/>
        </w:rPr>
        <w:t>ustos</w:t>
      </w:r>
      <w:r w:rsidR="00611230" w:rsidRPr="003C6FEE">
        <w:rPr>
          <w:rFonts w:asciiTheme="minorHAnsi" w:hAnsiTheme="minorHAnsi"/>
          <w:sz w:val="23"/>
          <w:szCs w:val="23"/>
        </w:rPr>
        <w:t xml:space="preserve"> de c</w:t>
      </w:r>
      <w:r w:rsidR="00073220" w:rsidRPr="003C6FEE">
        <w:rPr>
          <w:rFonts w:asciiTheme="minorHAnsi" w:hAnsiTheme="minorHAnsi"/>
          <w:sz w:val="23"/>
          <w:szCs w:val="23"/>
        </w:rPr>
        <w:t xml:space="preserve">apital </w:t>
      </w:r>
      <w:r w:rsidR="001D1DD8" w:rsidRPr="003C6FEE">
        <w:rPr>
          <w:rFonts w:asciiTheme="minorHAnsi" w:hAnsiTheme="minorHAnsi"/>
          <w:sz w:val="23"/>
          <w:szCs w:val="23"/>
        </w:rPr>
        <w:t>se subdividem em depreciação e r</w:t>
      </w:r>
      <w:r w:rsidR="00073220" w:rsidRPr="003C6FEE">
        <w:rPr>
          <w:rFonts w:asciiTheme="minorHAnsi" w:hAnsiTheme="minorHAnsi"/>
          <w:sz w:val="23"/>
          <w:szCs w:val="23"/>
        </w:rPr>
        <w:t>emuneração do capital. Para efeito do cálculo tarifário, são consideradas a depreciação dos veículos que compõem a frota, a depreciação de máquinas, instalações e equipamentos e a depreciação dos equipamentos embarcados nos veículos.</w:t>
      </w:r>
    </w:p>
    <w:p w:rsidR="00073220" w:rsidRPr="003C6FEE" w:rsidRDefault="00BC79C1" w:rsidP="001E3A55">
      <w:pPr>
        <w:ind w:firstLine="1701"/>
        <w:jc w:val="both"/>
        <w:rPr>
          <w:rFonts w:asciiTheme="minorHAnsi" w:hAnsiTheme="minorHAnsi"/>
          <w:b/>
          <w:bCs/>
          <w:sz w:val="23"/>
          <w:szCs w:val="23"/>
        </w:rPr>
      </w:pPr>
      <w:r w:rsidRPr="003C6FEE">
        <w:rPr>
          <w:rFonts w:asciiTheme="minorHAnsi" w:hAnsiTheme="minorHAnsi"/>
          <w:bCs/>
          <w:sz w:val="23"/>
          <w:szCs w:val="23"/>
        </w:rPr>
        <w:t>§</w:t>
      </w:r>
      <w:r w:rsidR="00073220" w:rsidRPr="003C6FEE">
        <w:rPr>
          <w:rFonts w:asciiTheme="minorHAnsi" w:hAnsiTheme="minorHAnsi"/>
          <w:bCs/>
          <w:sz w:val="23"/>
          <w:szCs w:val="23"/>
        </w:rPr>
        <w:t>2º</w:t>
      </w:r>
      <w:r w:rsidR="00073220" w:rsidRPr="003C6FEE">
        <w:rPr>
          <w:rFonts w:asciiTheme="minorHAnsi" w:hAnsiTheme="minorHAnsi"/>
          <w:sz w:val="23"/>
          <w:szCs w:val="23"/>
        </w:rPr>
        <w:t xml:space="preserve"> Para o cálculo da remuneração, será considerado o capital imobilizado em veículos, almoxarifado, máquinas, instalações e equipamentos, inclusive os embarcados nos veículos, tais como equipamentos de controle e segurança.</w:t>
      </w:r>
    </w:p>
    <w:p w:rsidR="00073220" w:rsidRPr="003C6FEE" w:rsidRDefault="00073220" w:rsidP="001E3A55">
      <w:pPr>
        <w:ind w:firstLine="1701"/>
        <w:jc w:val="both"/>
        <w:rPr>
          <w:rFonts w:asciiTheme="minorHAnsi" w:hAnsiTheme="minorHAnsi"/>
          <w:b/>
          <w:bCs/>
          <w:sz w:val="23"/>
          <w:szCs w:val="23"/>
        </w:rPr>
      </w:pPr>
      <w:r w:rsidRPr="003C6FEE">
        <w:rPr>
          <w:rFonts w:asciiTheme="minorHAnsi" w:hAnsiTheme="minorHAnsi"/>
          <w:bCs/>
          <w:sz w:val="23"/>
          <w:szCs w:val="23"/>
        </w:rPr>
        <w:t>§3º</w:t>
      </w:r>
      <w:r w:rsidRPr="003C6FEE">
        <w:rPr>
          <w:rFonts w:asciiTheme="minorHAnsi" w:hAnsiTheme="minorHAnsi"/>
          <w:sz w:val="23"/>
          <w:szCs w:val="23"/>
        </w:rPr>
        <w:t xml:space="preserve"> Os custos de depreciação e de remuneração do capital investido em veículos serão calculados por faixa etária, pelo método da soma dos dígitos decrescentes, de acordo com a vida útil do veículo, levando-se em conta o ano de fabricação e/ou a data do primeiro emplacamento do veículo, desde que es</w:t>
      </w:r>
      <w:r w:rsidR="001D1DD8" w:rsidRPr="003C6FEE">
        <w:rPr>
          <w:rFonts w:asciiTheme="minorHAnsi" w:hAnsiTheme="minorHAnsi"/>
          <w:sz w:val="23"/>
          <w:szCs w:val="23"/>
        </w:rPr>
        <w:t>ta última não ultrapasse a 10 (d</w:t>
      </w:r>
      <w:r w:rsidRPr="003C6FEE">
        <w:rPr>
          <w:rFonts w:asciiTheme="minorHAnsi" w:hAnsiTheme="minorHAnsi"/>
          <w:sz w:val="23"/>
          <w:szCs w:val="23"/>
        </w:rPr>
        <w:t>ez) meses do ano de fabricação.</w:t>
      </w:r>
    </w:p>
    <w:p w:rsidR="00073220" w:rsidRPr="003C6FEE" w:rsidRDefault="00073220" w:rsidP="001E3A55">
      <w:pPr>
        <w:ind w:firstLine="1701"/>
        <w:jc w:val="both"/>
        <w:rPr>
          <w:rFonts w:asciiTheme="minorHAnsi" w:hAnsiTheme="minorHAnsi"/>
          <w:b/>
          <w:bCs/>
          <w:sz w:val="23"/>
          <w:szCs w:val="23"/>
        </w:rPr>
      </w:pPr>
      <w:r w:rsidRPr="003C6FEE">
        <w:rPr>
          <w:rFonts w:asciiTheme="minorHAnsi" w:hAnsiTheme="minorHAnsi"/>
          <w:bCs/>
          <w:sz w:val="23"/>
          <w:szCs w:val="23"/>
        </w:rPr>
        <w:t>§4</w:t>
      </w:r>
      <w:r w:rsidR="00BC79C1" w:rsidRPr="003C6FEE">
        <w:rPr>
          <w:rFonts w:asciiTheme="minorHAnsi" w:hAnsiTheme="minorHAnsi"/>
          <w:bCs/>
          <w:sz w:val="23"/>
          <w:szCs w:val="23"/>
        </w:rPr>
        <w:t>º</w:t>
      </w:r>
      <w:r w:rsidRPr="003C6FEE">
        <w:rPr>
          <w:rFonts w:asciiTheme="minorHAnsi" w:hAnsiTheme="minorHAnsi"/>
          <w:sz w:val="23"/>
          <w:szCs w:val="23"/>
        </w:rPr>
        <w:t xml:space="preserve"> A idade média da frota, para fins de depreciação e remuneração no cálculo tarifário, não deverá ser superior a 12 (doze) anos.</w:t>
      </w:r>
    </w:p>
    <w:p w:rsidR="00073220" w:rsidRPr="003C6FEE" w:rsidRDefault="00BC79C1" w:rsidP="001E3A55">
      <w:pPr>
        <w:ind w:firstLine="1701"/>
        <w:jc w:val="both"/>
        <w:rPr>
          <w:rFonts w:asciiTheme="minorHAnsi" w:hAnsiTheme="minorHAnsi"/>
          <w:b/>
          <w:sz w:val="23"/>
          <w:szCs w:val="23"/>
        </w:rPr>
      </w:pPr>
      <w:r w:rsidRPr="003C6FEE">
        <w:rPr>
          <w:rFonts w:asciiTheme="minorHAnsi" w:hAnsiTheme="minorHAnsi"/>
          <w:bCs/>
          <w:sz w:val="23"/>
          <w:szCs w:val="23"/>
        </w:rPr>
        <w:t>§</w:t>
      </w:r>
      <w:r w:rsidR="00073220" w:rsidRPr="003C6FEE">
        <w:rPr>
          <w:rFonts w:asciiTheme="minorHAnsi" w:hAnsiTheme="minorHAnsi"/>
          <w:bCs/>
          <w:sz w:val="23"/>
          <w:szCs w:val="23"/>
        </w:rPr>
        <w:t>5</w:t>
      </w:r>
      <w:r w:rsidRPr="003C6FEE">
        <w:rPr>
          <w:rFonts w:asciiTheme="minorHAnsi" w:hAnsiTheme="minorHAnsi"/>
          <w:bCs/>
          <w:sz w:val="23"/>
          <w:szCs w:val="23"/>
        </w:rPr>
        <w:t>º</w:t>
      </w:r>
      <w:r w:rsidR="001D1DD8" w:rsidRPr="003C6FEE">
        <w:rPr>
          <w:rFonts w:asciiTheme="minorHAnsi" w:hAnsiTheme="minorHAnsi"/>
          <w:sz w:val="23"/>
          <w:szCs w:val="23"/>
        </w:rPr>
        <w:t xml:space="preserve"> Os custos relativos à d</w:t>
      </w:r>
      <w:r w:rsidR="00073220" w:rsidRPr="003C6FEE">
        <w:rPr>
          <w:rFonts w:asciiTheme="minorHAnsi" w:hAnsiTheme="minorHAnsi"/>
          <w:sz w:val="23"/>
          <w:szCs w:val="23"/>
        </w:rPr>
        <w:t xml:space="preserve">epreciação de máquina, instalações e equipamentos, inclusive os embarcados nos veículos serão levantados adotando-se, os coeficientes máximos recomendados pelo Ministério dos Transportes, através de Planilha Nacional divulgada pelo GEIPOT </w:t>
      </w:r>
      <w:r w:rsidR="001D1DD8" w:rsidRPr="003C6FEE">
        <w:rPr>
          <w:rFonts w:asciiTheme="minorHAnsi" w:hAnsiTheme="minorHAnsi"/>
          <w:sz w:val="23"/>
          <w:szCs w:val="23"/>
        </w:rPr>
        <w:t>-</w:t>
      </w:r>
      <w:r w:rsidR="00073220" w:rsidRPr="003C6FEE">
        <w:rPr>
          <w:rFonts w:asciiTheme="minorHAnsi" w:hAnsiTheme="minorHAnsi"/>
          <w:sz w:val="23"/>
          <w:szCs w:val="23"/>
        </w:rPr>
        <w:t xml:space="preserve"> Empresa Brasileira de Planejamento de Transportes.</w:t>
      </w:r>
    </w:p>
    <w:p w:rsidR="00073220" w:rsidRPr="003C6FEE" w:rsidRDefault="001D1DD8" w:rsidP="001E3A55">
      <w:pPr>
        <w:ind w:firstLine="1701"/>
        <w:jc w:val="both"/>
        <w:rPr>
          <w:rFonts w:asciiTheme="minorHAnsi" w:hAnsiTheme="minorHAnsi"/>
          <w:sz w:val="23"/>
          <w:szCs w:val="23"/>
        </w:rPr>
      </w:pPr>
      <w:r w:rsidRPr="003C6FEE">
        <w:rPr>
          <w:rFonts w:asciiTheme="minorHAnsi" w:hAnsiTheme="minorHAnsi"/>
          <w:sz w:val="23"/>
          <w:szCs w:val="23"/>
        </w:rPr>
        <w:t>§6º Na determinação da r</w:t>
      </w:r>
      <w:r w:rsidR="00073220" w:rsidRPr="003C6FEE">
        <w:rPr>
          <w:rFonts w:asciiTheme="minorHAnsi" w:hAnsiTheme="minorHAnsi"/>
          <w:sz w:val="23"/>
          <w:szCs w:val="23"/>
        </w:rPr>
        <w:t>emuneração de capital imobilizado em veículos, serão descontados os subsídios e bonificações concedidos por órgãos públicos federais e estaduais ou pelos fornecedores de veículos.</w:t>
      </w:r>
    </w:p>
    <w:p w:rsidR="00073220" w:rsidRPr="003C6FEE" w:rsidRDefault="007373AA" w:rsidP="001E3A55">
      <w:pPr>
        <w:ind w:firstLine="1701"/>
        <w:jc w:val="both"/>
        <w:rPr>
          <w:rFonts w:asciiTheme="minorHAnsi" w:hAnsiTheme="minorHAnsi"/>
          <w:sz w:val="23"/>
          <w:szCs w:val="23"/>
        </w:rPr>
      </w:pPr>
      <w:r w:rsidRPr="003C6FEE">
        <w:rPr>
          <w:rFonts w:asciiTheme="minorHAnsi" w:hAnsiTheme="minorHAnsi"/>
          <w:sz w:val="23"/>
          <w:szCs w:val="23"/>
        </w:rPr>
        <w:t>§</w:t>
      </w:r>
      <w:r w:rsidR="00073220" w:rsidRPr="003C6FEE">
        <w:rPr>
          <w:rFonts w:asciiTheme="minorHAnsi" w:hAnsiTheme="minorHAnsi"/>
          <w:sz w:val="23"/>
          <w:szCs w:val="23"/>
        </w:rPr>
        <w:t>7º Será consid</w:t>
      </w:r>
      <w:r w:rsidR="001D1DD8" w:rsidRPr="003C6FEE">
        <w:rPr>
          <w:rFonts w:asciiTheme="minorHAnsi" w:hAnsiTheme="minorHAnsi"/>
          <w:sz w:val="23"/>
          <w:szCs w:val="23"/>
        </w:rPr>
        <w:t>erada, para fins de cálculo da remuneração de c</w:t>
      </w:r>
      <w:r w:rsidR="00073220" w:rsidRPr="003C6FEE">
        <w:rPr>
          <w:rFonts w:asciiTheme="minorHAnsi" w:hAnsiTheme="minorHAnsi"/>
          <w:sz w:val="23"/>
          <w:szCs w:val="23"/>
        </w:rPr>
        <w:t xml:space="preserve">apital imobilizado em veículos, a taxa de 12 </w:t>
      </w:r>
      <w:r w:rsidRPr="003C6FEE">
        <w:rPr>
          <w:rFonts w:asciiTheme="minorHAnsi" w:hAnsiTheme="minorHAnsi"/>
          <w:sz w:val="23"/>
          <w:szCs w:val="23"/>
        </w:rPr>
        <w:t xml:space="preserve">% </w:t>
      </w:r>
      <w:r w:rsidR="00073220" w:rsidRPr="003C6FEE">
        <w:rPr>
          <w:rFonts w:asciiTheme="minorHAnsi" w:hAnsiTheme="minorHAnsi"/>
          <w:sz w:val="23"/>
          <w:szCs w:val="23"/>
        </w:rPr>
        <w:t>a.a. (doze por centos ao ano) sobre o valor do veículo híbrido, sem pneus, deduzindo-se a parcela já depreciada.</w:t>
      </w:r>
    </w:p>
    <w:p w:rsidR="00073220" w:rsidRPr="003C6FEE" w:rsidRDefault="007373AA" w:rsidP="001E3A55">
      <w:pPr>
        <w:ind w:firstLine="1701"/>
        <w:jc w:val="both"/>
        <w:rPr>
          <w:rFonts w:asciiTheme="minorHAnsi" w:hAnsiTheme="minorHAnsi"/>
          <w:sz w:val="23"/>
          <w:szCs w:val="23"/>
        </w:rPr>
      </w:pPr>
      <w:r w:rsidRPr="003C6FEE">
        <w:rPr>
          <w:rFonts w:asciiTheme="minorHAnsi" w:hAnsiTheme="minorHAnsi"/>
          <w:sz w:val="23"/>
          <w:szCs w:val="23"/>
        </w:rPr>
        <w:t>§</w:t>
      </w:r>
      <w:r w:rsidR="00073220" w:rsidRPr="003C6FEE">
        <w:rPr>
          <w:rFonts w:asciiTheme="minorHAnsi" w:hAnsiTheme="minorHAnsi"/>
          <w:sz w:val="23"/>
          <w:szCs w:val="23"/>
        </w:rPr>
        <w:t>8º A vida útil dos veículos será aquela prevista na legislação em vigor.</w:t>
      </w:r>
    </w:p>
    <w:p w:rsidR="00073220" w:rsidRPr="003C6FEE" w:rsidRDefault="007373AA" w:rsidP="001E3A55">
      <w:pPr>
        <w:ind w:firstLine="1701"/>
        <w:jc w:val="both"/>
        <w:rPr>
          <w:rFonts w:asciiTheme="minorHAnsi" w:hAnsiTheme="minorHAnsi"/>
          <w:sz w:val="23"/>
          <w:szCs w:val="23"/>
        </w:rPr>
      </w:pPr>
      <w:r w:rsidRPr="003C6FEE">
        <w:rPr>
          <w:rFonts w:asciiTheme="minorHAnsi" w:hAnsiTheme="minorHAnsi"/>
          <w:sz w:val="23"/>
          <w:szCs w:val="23"/>
        </w:rPr>
        <w:t>§9º</w:t>
      </w:r>
      <w:r w:rsidR="00073220" w:rsidRPr="003C6FEE">
        <w:rPr>
          <w:rFonts w:asciiTheme="minorHAnsi" w:hAnsiTheme="minorHAnsi"/>
          <w:sz w:val="23"/>
          <w:szCs w:val="23"/>
        </w:rPr>
        <w:t xml:space="preserve"> O coeficiente de peças e acessórios, será de 0,0053.</w:t>
      </w:r>
    </w:p>
    <w:p w:rsidR="00073220" w:rsidRPr="003C6FEE" w:rsidRDefault="007373AA" w:rsidP="001E3A55">
      <w:pPr>
        <w:ind w:firstLine="1701"/>
        <w:jc w:val="both"/>
        <w:rPr>
          <w:rFonts w:asciiTheme="minorHAnsi" w:hAnsiTheme="minorHAnsi"/>
          <w:sz w:val="23"/>
          <w:szCs w:val="23"/>
        </w:rPr>
      </w:pPr>
      <w:r w:rsidRPr="003C6FEE">
        <w:rPr>
          <w:rFonts w:asciiTheme="minorHAnsi" w:hAnsiTheme="minorHAnsi"/>
          <w:sz w:val="23"/>
          <w:szCs w:val="23"/>
        </w:rPr>
        <w:t>§10º</w:t>
      </w:r>
      <w:r w:rsidR="00073220" w:rsidRPr="003C6FEE">
        <w:rPr>
          <w:rFonts w:asciiTheme="minorHAnsi" w:hAnsiTheme="minorHAnsi"/>
          <w:sz w:val="23"/>
          <w:szCs w:val="23"/>
        </w:rPr>
        <w:t xml:space="preserve"> Serão considerados como despesas com pessoal de operação e manutenção os salários, encargos sociais e contribuições previdenciárias de motoristas, cobradores, fiscais, e pessoal de manutenção. O valor do salário será aquele acordado em dissídio coletivo da categoria dos trabalhadores rodoviários ou regulado por legislação específica. Os encargos sociais e as contribuições previdenciárias serão aquelas previstas na legislação específica.</w:t>
      </w: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§11</w:t>
      </w:r>
      <w:r w:rsidR="007373AA" w:rsidRPr="003C6FEE">
        <w:rPr>
          <w:rFonts w:asciiTheme="minorHAnsi" w:hAnsiTheme="minorHAnsi"/>
          <w:sz w:val="23"/>
          <w:szCs w:val="23"/>
        </w:rPr>
        <w:t>º</w:t>
      </w:r>
      <w:r w:rsidR="001D1DD8" w:rsidRPr="003C6FEE">
        <w:rPr>
          <w:rFonts w:asciiTheme="minorHAnsi" w:hAnsiTheme="minorHAnsi"/>
          <w:sz w:val="23"/>
          <w:szCs w:val="23"/>
        </w:rPr>
        <w:t xml:space="preserve"> Também será considerada como d</w:t>
      </w:r>
      <w:r w:rsidRPr="003C6FEE">
        <w:rPr>
          <w:rFonts w:asciiTheme="minorHAnsi" w:hAnsiTheme="minorHAnsi"/>
          <w:sz w:val="23"/>
          <w:szCs w:val="23"/>
        </w:rPr>
        <w:t xml:space="preserve">espesa de pessoal de operação e manutenção, o custo com o vale refeição, vale alimentação, vale transporte, uniformes, </w:t>
      </w:r>
      <w:r w:rsidRPr="003C6FEE">
        <w:rPr>
          <w:rFonts w:asciiTheme="minorHAnsi" w:hAnsiTheme="minorHAnsi"/>
          <w:sz w:val="23"/>
          <w:szCs w:val="23"/>
        </w:rPr>
        <w:lastRenderedPageBreak/>
        <w:t>assistência médico-odontológica, benefícios por tempo de serviço, treinamento, abonos e outros que venham a ser concedidos, sempre referentes a parcela paga, exclusivamente, pelo empregador, sem vínculo com o salário e sem incidência de encargos sociais ou repercussão em horas-extras, sendo estas despesas alocadas no título “benefício total mensal” da planilha Geipot.</w:t>
      </w:r>
    </w:p>
    <w:p w:rsidR="00073220" w:rsidRPr="003C6FEE" w:rsidRDefault="007373AA" w:rsidP="001E3A55">
      <w:pPr>
        <w:ind w:firstLine="1701"/>
        <w:jc w:val="both"/>
        <w:rPr>
          <w:rFonts w:asciiTheme="minorHAnsi" w:hAnsiTheme="minorHAnsi"/>
          <w:sz w:val="23"/>
          <w:szCs w:val="23"/>
        </w:rPr>
      </w:pPr>
      <w:r w:rsidRPr="003C6FEE">
        <w:rPr>
          <w:rFonts w:asciiTheme="minorHAnsi" w:hAnsiTheme="minorHAnsi"/>
          <w:sz w:val="23"/>
          <w:szCs w:val="23"/>
        </w:rPr>
        <w:t>§</w:t>
      </w:r>
      <w:r w:rsidR="00073220" w:rsidRPr="003C6FEE">
        <w:rPr>
          <w:rFonts w:asciiTheme="minorHAnsi" w:hAnsiTheme="minorHAnsi"/>
          <w:sz w:val="23"/>
          <w:szCs w:val="23"/>
        </w:rPr>
        <w:t>12</w:t>
      </w:r>
      <w:r w:rsidRPr="003C6FEE">
        <w:rPr>
          <w:rFonts w:asciiTheme="minorHAnsi" w:hAnsiTheme="minorHAnsi"/>
          <w:sz w:val="23"/>
          <w:szCs w:val="23"/>
        </w:rPr>
        <w:t>º</w:t>
      </w:r>
      <w:r w:rsidR="00073220" w:rsidRPr="003C6FEE">
        <w:rPr>
          <w:rFonts w:asciiTheme="minorHAnsi" w:hAnsiTheme="minorHAnsi"/>
          <w:sz w:val="23"/>
          <w:szCs w:val="23"/>
        </w:rPr>
        <w:t xml:space="preserve"> Para fins de cálculos dos custos com o pessoal, deverá ser aferido o índice de</w:t>
      </w:r>
      <w:r w:rsidR="001D1DD8" w:rsidRPr="003C6FEE">
        <w:rPr>
          <w:rFonts w:asciiTheme="minorHAnsi" w:hAnsiTheme="minorHAnsi"/>
          <w:sz w:val="23"/>
          <w:szCs w:val="23"/>
        </w:rPr>
        <w:t xml:space="preserve"> </w:t>
      </w:r>
      <w:r w:rsidR="00073220" w:rsidRPr="003C6FEE">
        <w:rPr>
          <w:rFonts w:asciiTheme="minorHAnsi" w:hAnsiTheme="minorHAnsi"/>
          <w:sz w:val="23"/>
          <w:szCs w:val="23"/>
        </w:rPr>
        <w:t xml:space="preserve">funcionário por veículo em cada </w:t>
      </w:r>
      <w:r w:rsidR="005403F1" w:rsidRPr="003C6FEE">
        <w:rPr>
          <w:rFonts w:asciiTheme="minorHAnsi" w:hAnsiTheme="minorHAnsi"/>
          <w:sz w:val="23"/>
          <w:szCs w:val="23"/>
        </w:rPr>
        <w:t>categoria, denominado fator de utilização. Para o cálculo do fator de utilização de m</w:t>
      </w:r>
      <w:r w:rsidR="00073220" w:rsidRPr="003C6FEE">
        <w:rPr>
          <w:rFonts w:asciiTheme="minorHAnsi" w:hAnsiTheme="minorHAnsi"/>
          <w:sz w:val="23"/>
          <w:szCs w:val="23"/>
        </w:rPr>
        <w:t>otoristas, e cobradores deverá ser considerada a programação da operação de acordo com a média da frota operante no p</w:t>
      </w:r>
      <w:r w:rsidR="001D1DD8" w:rsidRPr="003C6FEE">
        <w:rPr>
          <w:rFonts w:asciiTheme="minorHAnsi" w:hAnsiTheme="minorHAnsi"/>
          <w:sz w:val="23"/>
          <w:szCs w:val="23"/>
        </w:rPr>
        <w:t>eríodo de apuração do custo do Sistema de Transporte C</w:t>
      </w:r>
      <w:r w:rsidR="00073220" w:rsidRPr="003C6FEE">
        <w:rPr>
          <w:rFonts w:asciiTheme="minorHAnsi" w:hAnsiTheme="minorHAnsi"/>
          <w:sz w:val="23"/>
          <w:szCs w:val="23"/>
        </w:rPr>
        <w:t>oletivo por ônibus. Para os fiscais deverá ser adotado o fator de utilização igual a 0,14.</w:t>
      </w:r>
    </w:p>
    <w:p w:rsidR="00073220" w:rsidRPr="003C6FEE" w:rsidRDefault="007373AA" w:rsidP="001E3A55">
      <w:pPr>
        <w:tabs>
          <w:tab w:val="left" w:pos="1701"/>
        </w:tabs>
        <w:ind w:firstLine="1701"/>
        <w:jc w:val="both"/>
        <w:rPr>
          <w:rFonts w:asciiTheme="minorHAnsi" w:hAnsiTheme="minorHAnsi"/>
          <w:sz w:val="23"/>
          <w:szCs w:val="23"/>
        </w:rPr>
      </w:pPr>
      <w:r w:rsidRPr="003C6FEE">
        <w:rPr>
          <w:rFonts w:asciiTheme="minorHAnsi" w:hAnsiTheme="minorHAnsi"/>
          <w:sz w:val="23"/>
          <w:szCs w:val="23"/>
        </w:rPr>
        <w:t>§</w:t>
      </w:r>
      <w:r w:rsidR="00073220" w:rsidRPr="003C6FEE">
        <w:rPr>
          <w:rFonts w:asciiTheme="minorHAnsi" w:hAnsiTheme="minorHAnsi"/>
          <w:sz w:val="23"/>
          <w:szCs w:val="23"/>
        </w:rPr>
        <w:t>13</w:t>
      </w:r>
      <w:r w:rsidRPr="003C6FEE">
        <w:rPr>
          <w:rFonts w:asciiTheme="minorHAnsi" w:hAnsiTheme="minorHAnsi"/>
          <w:sz w:val="23"/>
          <w:szCs w:val="23"/>
        </w:rPr>
        <w:t>º</w:t>
      </w:r>
      <w:r w:rsidR="00073220" w:rsidRPr="003C6FEE">
        <w:rPr>
          <w:rFonts w:asciiTheme="minorHAnsi" w:hAnsiTheme="minorHAnsi"/>
          <w:sz w:val="23"/>
          <w:szCs w:val="23"/>
        </w:rPr>
        <w:t xml:space="preserve"> As despesas com </w:t>
      </w:r>
      <w:r w:rsidR="005403F1" w:rsidRPr="003C6FEE">
        <w:rPr>
          <w:rFonts w:asciiTheme="minorHAnsi" w:hAnsiTheme="minorHAnsi"/>
          <w:sz w:val="23"/>
          <w:szCs w:val="23"/>
        </w:rPr>
        <w:t>pessoal de m</w:t>
      </w:r>
      <w:r w:rsidR="00073220" w:rsidRPr="003C6FEE">
        <w:rPr>
          <w:rFonts w:asciiTheme="minorHAnsi" w:hAnsiTheme="minorHAnsi"/>
          <w:sz w:val="23"/>
          <w:szCs w:val="23"/>
        </w:rPr>
        <w:t>anutenção, são re</w:t>
      </w:r>
      <w:r w:rsidR="005403F1" w:rsidRPr="003C6FEE">
        <w:rPr>
          <w:rFonts w:asciiTheme="minorHAnsi" w:hAnsiTheme="minorHAnsi"/>
          <w:sz w:val="23"/>
          <w:szCs w:val="23"/>
        </w:rPr>
        <w:t>lacionadas com as despesas com pessoal o</w:t>
      </w:r>
      <w:r w:rsidR="00073220" w:rsidRPr="003C6FEE">
        <w:rPr>
          <w:rFonts w:asciiTheme="minorHAnsi" w:hAnsiTheme="minorHAnsi"/>
          <w:sz w:val="23"/>
          <w:szCs w:val="23"/>
        </w:rPr>
        <w:t>peracional, cujo coeficiente é igual a 0,1350.</w:t>
      </w:r>
    </w:p>
    <w:p w:rsidR="00073220" w:rsidRPr="003C6FEE" w:rsidRDefault="007373AA" w:rsidP="001E3A55">
      <w:pPr>
        <w:ind w:firstLine="1701"/>
        <w:jc w:val="both"/>
        <w:rPr>
          <w:rFonts w:asciiTheme="minorHAnsi" w:hAnsiTheme="minorHAnsi"/>
          <w:b/>
          <w:sz w:val="23"/>
          <w:szCs w:val="23"/>
        </w:rPr>
      </w:pPr>
      <w:r w:rsidRPr="003C6FEE">
        <w:rPr>
          <w:rFonts w:asciiTheme="minorHAnsi" w:hAnsiTheme="minorHAnsi"/>
          <w:sz w:val="23"/>
          <w:szCs w:val="23"/>
        </w:rPr>
        <w:t>§</w:t>
      </w:r>
      <w:r w:rsidR="00073220" w:rsidRPr="003C6FEE">
        <w:rPr>
          <w:rFonts w:asciiTheme="minorHAnsi" w:hAnsiTheme="minorHAnsi"/>
          <w:sz w:val="23"/>
          <w:szCs w:val="23"/>
        </w:rPr>
        <w:t>14</w:t>
      </w:r>
      <w:r w:rsidRPr="003C6FEE">
        <w:rPr>
          <w:rFonts w:asciiTheme="minorHAnsi" w:hAnsiTheme="minorHAnsi"/>
          <w:sz w:val="23"/>
          <w:szCs w:val="23"/>
        </w:rPr>
        <w:t>º</w:t>
      </w:r>
      <w:r w:rsidR="005403F1" w:rsidRPr="003C6FEE">
        <w:rPr>
          <w:rFonts w:asciiTheme="minorHAnsi" w:hAnsiTheme="minorHAnsi"/>
          <w:sz w:val="23"/>
          <w:szCs w:val="23"/>
        </w:rPr>
        <w:t xml:space="preserve"> Os custos com despesas a</w:t>
      </w:r>
      <w:r w:rsidR="00073220" w:rsidRPr="003C6FEE">
        <w:rPr>
          <w:rFonts w:asciiTheme="minorHAnsi" w:hAnsiTheme="minorHAnsi"/>
          <w:sz w:val="23"/>
          <w:szCs w:val="23"/>
        </w:rPr>
        <w:t>dministrativas subdivid</w:t>
      </w:r>
      <w:r w:rsidR="005403F1" w:rsidRPr="003C6FEE">
        <w:rPr>
          <w:rFonts w:asciiTheme="minorHAnsi" w:hAnsiTheme="minorHAnsi"/>
          <w:sz w:val="23"/>
          <w:szCs w:val="23"/>
        </w:rPr>
        <w:t>em-se em: despesas com pessoal a</w:t>
      </w:r>
      <w:r w:rsidR="00073220" w:rsidRPr="003C6FEE">
        <w:rPr>
          <w:rFonts w:asciiTheme="minorHAnsi" w:hAnsiTheme="minorHAnsi"/>
          <w:sz w:val="23"/>
          <w:szCs w:val="23"/>
        </w:rPr>
        <w:t>dministrativo, outras despesas, seguro passageiro, seguro obrigatório de danos pessoais causados por veículos automotores de vias terrestres – DPVAT E PRÓ LABORE.</w:t>
      </w:r>
    </w:p>
    <w:p w:rsidR="00073220" w:rsidRPr="003C6FEE" w:rsidRDefault="007373AA" w:rsidP="001E3A55">
      <w:pPr>
        <w:ind w:firstLine="1701"/>
        <w:jc w:val="both"/>
        <w:rPr>
          <w:rFonts w:asciiTheme="minorHAnsi" w:hAnsiTheme="minorHAnsi"/>
          <w:sz w:val="23"/>
          <w:szCs w:val="23"/>
        </w:rPr>
      </w:pPr>
      <w:r w:rsidRPr="003C6FEE">
        <w:rPr>
          <w:rFonts w:asciiTheme="minorHAnsi" w:hAnsiTheme="minorHAnsi"/>
          <w:sz w:val="23"/>
          <w:szCs w:val="23"/>
        </w:rPr>
        <w:t>§15º</w:t>
      </w:r>
      <w:r w:rsidR="00073220" w:rsidRPr="003C6FEE">
        <w:rPr>
          <w:rFonts w:asciiTheme="minorHAnsi" w:hAnsiTheme="minorHAnsi"/>
          <w:sz w:val="23"/>
          <w:szCs w:val="23"/>
        </w:rPr>
        <w:t xml:space="preserve"> As despesas com pessoal administrativo, são re</w:t>
      </w:r>
      <w:r w:rsidR="005403F1" w:rsidRPr="003C6FEE">
        <w:rPr>
          <w:rFonts w:asciiTheme="minorHAnsi" w:hAnsiTheme="minorHAnsi"/>
          <w:sz w:val="23"/>
          <w:szCs w:val="23"/>
        </w:rPr>
        <w:t>lacionadas com as despesas com pessoal o</w:t>
      </w:r>
      <w:r w:rsidR="00073220" w:rsidRPr="003C6FEE">
        <w:rPr>
          <w:rFonts w:asciiTheme="minorHAnsi" w:hAnsiTheme="minorHAnsi"/>
          <w:sz w:val="23"/>
          <w:szCs w:val="23"/>
        </w:rPr>
        <w:t>peracional, cujo coeficiente é igual a 0,1050.</w:t>
      </w: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§16</w:t>
      </w:r>
      <w:r w:rsidR="007373AA" w:rsidRPr="003C6FEE">
        <w:rPr>
          <w:rFonts w:asciiTheme="minorHAnsi" w:hAnsiTheme="minorHAnsi"/>
          <w:sz w:val="23"/>
          <w:szCs w:val="23"/>
        </w:rPr>
        <w:t>º</w:t>
      </w:r>
      <w:r w:rsidRPr="003C6FEE">
        <w:rPr>
          <w:rFonts w:asciiTheme="minorHAnsi" w:hAnsiTheme="minorHAnsi"/>
          <w:sz w:val="23"/>
          <w:szCs w:val="23"/>
        </w:rPr>
        <w:t xml:space="preserve"> Os custos com outras despesas, de que trata o §14</w:t>
      </w:r>
      <w:r w:rsidR="005021F2" w:rsidRPr="003C6FEE">
        <w:rPr>
          <w:rFonts w:asciiTheme="minorHAnsi" w:hAnsiTheme="minorHAnsi"/>
          <w:sz w:val="23"/>
          <w:szCs w:val="23"/>
        </w:rPr>
        <w:t>º</w:t>
      </w:r>
      <w:r w:rsidRPr="003C6FEE">
        <w:rPr>
          <w:rFonts w:asciiTheme="minorHAnsi" w:hAnsiTheme="minorHAnsi"/>
          <w:sz w:val="23"/>
          <w:szCs w:val="23"/>
        </w:rPr>
        <w:t xml:space="preserve"> tais como</w:t>
      </w:r>
      <w:r w:rsidR="005021F2" w:rsidRPr="003C6FEE">
        <w:rPr>
          <w:rFonts w:asciiTheme="minorHAnsi" w:hAnsiTheme="minorHAnsi"/>
          <w:sz w:val="23"/>
          <w:szCs w:val="23"/>
        </w:rPr>
        <w:t>,</w:t>
      </w:r>
      <w:r w:rsidRPr="003C6FEE">
        <w:rPr>
          <w:rFonts w:asciiTheme="minorHAnsi" w:hAnsiTheme="minorHAnsi"/>
          <w:sz w:val="23"/>
          <w:szCs w:val="23"/>
        </w:rPr>
        <w:t xml:space="preserve"> energia elétrica, água, esgoto, telefone, locação de equipamentos, materiais de consumo, serviços contábeis e advocatícios, tecnologia e informação e respectiva contribuição previdenciária, incidentes sobre esses valores será medido pelo coeficiente 0,0025.</w:t>
      </w:r>
    </w:p>
    <w:p w:rsidR="00073220" w:rsidRPr="003C6FEE" w:rsidRDefault="007373AA" w:rsidP="001E3A55">
      <w:pPr>
        <w:ind w:firstLine="1701"/>
        <w:jc w:val="both"/>
        <w:rPr>
          <w:rFonts w:asciiTheme="minorHAnsi" w:hAnsiTheme="minorHAnsi"/>
          <w:b/>
          <w:sz w:val="23"/>
          <w:szCs w:val="23"/>
        </w:rPr>
      </w:pPr>
      <w:r w:rsidRPr="003C6FEE">
        <w:rPr>
          <w:rFonts w:asciiTheme="minorHAnsi" w:hAnsiTheme="minorHAnsi"/>
          <w:sz w:val="23"/>
          <w:szCs w:val="23"/>
        </w:rPr>
        <w:t>§</w:t>
      </w:r>
      <w:r w:rsidR="00073220" w:rsidRPr="003C6FEE">
        <w:rPr>
          <w:rFonts w:asciiTheme="minorHAnsi" w:hAnsiTheme="minorHAnsi"/>
          <w:sz w:val="23"/>
          <w:szCs w:val="23"/>
        </w:rPr>
        <w:t>17</w:t>
      </w:r>
      <w:r w:rsidRPr="003C6FEE">
        <w:rPr>
          <w:rFonts w:asciiTheme="minorHAnsi" w:hAnsiTheme="minorHAnsi"/>
          <w:sz w:val="23"/>
          <w:szCs w:val="23"/>
        </w:rPr>
        <w:t>º</w:t>
      </w:r>
      <w:r w:rsidR="00073220" w:rsidRPr="003C6FEE">
        <w:rPr>
          <w:rFonts w:asciiTheme="minorHAnsi" w:hAnsiTheme="minorHAnsi"/>
          <w:sz w:val="23"/>
          <w:szCs w:val="23"/>
        </w:rPr>
        <w:t xml:space="preserve"> Para fins de cálculo tarifário, as</w:t>
      </w:r>
      <w:r w:rsidR="005021F2" w:rsidRPr="003C6FEE">
        <w:rPr>
          <w:rFonts w:asciiTheme="minorHAnsi" w:hAnsiTheme="minorHAnsi"/>
          <w:sz w:val="23"/>
          <w:szCs w:val="23"/>
        </w:rPr>
        <w:t xml:space="preserve"> despesas com o item seguro de a</w:t>
      </w:r>
      <w:r w:rsidR="00073220" w:rsidRPr="003C6FEE">
        <w:rPr>
          <w:rFonts w:asciiTheme="minorHAnsi" w:hAnsiTheme="minorHAnsi"/>
          <w:sz w:val="23"/>
          <w:szCs w:val="23"/>
        </w:rPr>
        <w:t>cidentes de</w:t>
      </w:r>
      <w:r w:rsidR="005021F2" w:rsidRPr="003C6FEE">
        <w:rPr>
          <w:rFonts w:asciiTheme="minorHAnsi" w:hAnsiTheme="minorHAnsi"/>
          <w:sz w:val="23"/>
          <w:szCs w:val="23"/>
        </w:rPr>
        <w:t xml:space="preserve"> usuário</w:t>
      </w:r>
      <w:r w:rsidR="00073220" w:rsidRPr="003C6FEE">
        <w:rPr>
          <w:rFonts w:asciiTheme="minorHAnsi" w:hAnsiTheme="minorHAnsi"/>
          <w:sz w:val="23"/>
          <w:szCs w:val="23"/>
        </w:rPr>
        <w:t xml:space="preserve"> transporte coletivo serão levantadas das respectivas apólices de seguro, ou documento comprobatório da contratação do mesmo.</w:t>
      </w: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§18</w:t>
      </w:r>
      <w:r w:rsidR="007373AA" w:rsidRPr="003C6FEE">
        <w:rPr>
          <w:rFonts w:asciiTheme="minorHAnsi" w:hAnsiTheme="minorHAnsi"/>
          <w:sz w:val="23"/>
          <w:szCs w:val="23"/>
        </w:rPr>
        <w:t>º</w:t>
      </w:r>
      <w:r w:rsidR="005021F2" w:rsidRPr="003C6FEE">
        <w:rPr>
          <w:rFonts w:asciiTheme="minorHAnsi" w:hAnsiTheme="minorHAnsi"/>
          <w:sz w:val="23"/>
          <w:szCs w:val="23"/>
        </w:rPr>
        <w:t xml:space="preserve"> O seguro obrigatório de danos pessoais causados por veículos automotores de vias t</w:t>
      </w:r>
      <w:r w:rsidRPr="003C6FEE">
        <w:rPr>
          <w:rFonts w:asciiTheme="minorHAnsi" w:hAnsiTheme="minorHAnsi"/>
          <w:sz w:val="23"/>
          <w:szCs w:val="23"/>
        </w:rPr>
        <w:t>errestres será aquele definido em legislação específica.</w:t>
      </w:r>
    </w:p>
    <w:p w:rsidR="007373AA"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§19</w:t>
      </w:r>
      <w:r w:rsidR="007373AA" w:rsidRPr="003C6FEE">
        <w:rPr>
          <w:rFonts w:asciiTheme="minorHAnsi" w:hAnsiTheme="minorHAnsi"/>
          <w:sz w:val="23"/>
          <w:szCs w:val="23"/>
        </w:rPr>
        <w:t>º</w:t>
      </w:r>
      <w:r w:rsidR="005021F2" w:rsidRPr="003C6FEE">
        <w:rPr>
          <w:rFonts w:asciiTheme="minorHAnsi" w:hAnsiTheme="minorHAnsi"/>
          <w:sz w:val="23"/>
          <w:szCs w:val="23"/>
        </w:rPr>
        <w:t xml:space="preserve"> A remuneração de d</w:t>
      </w:r>
      <w:r w:rsidRPr="003C6FEE">
        <w:rPr>
          <w:rFonts w:asciiTheme="minorHAnsi" w:hAnsiTheme="minorHAnsi"/>
          <w:sz w:val="23"/>
          <w:szCs w:val="23"/>
        </w:rPr>
        <w:t>iretor será considerada 5 (cinco) vezes o piso salarial ao motorista do transporte coletivo por ônibus de Santa Maria mais encargos sociais, sendo estabelecido, para fins de cálculo</w:t>
      </w:r>
      <w:r w:rsidR="007373AA" w:rsidRPr="003C6FEE">
        <w:rPr>
          <w:rFonts w:asciiTheme="minorHAnsi" w:hAnsiTheme="minorHAnsi"/>
          <w:sz w:val="23"/>
          <w:szCs w:val="23"/>
        </w:rPr>
        <w:t xml:space="preserve"> tarifário, o número máximo de </w:t>
      </w:r>
      <w:r w:rsidR="005021F2" w:rsidRPr="003C6FEE">
        <w:rPr>
          <w:rFonts w:asciiTheme="minorHAnsi" w:hAnsiTheme="minorHAnsi"/>
          <w:sz w:val="23"/>
          <w:szCs w:val="23"/>
        </w:rPr>
        <w:t>3 (três) d</w:t>
      </w:r>
      <w:r w:rsidRPr="003C6FEE">
        <w:rPr>
          <w:rFonts w:asciiTheme="minorHAnsi" w:hAnsiTheme="minorHAnsi"/>
          <w:sz w:val="23"/>
          <w:szCs w:val="23"/>
        </w:rPr>
        <w:t>iretores por empres</w:t>
      </w:r>
      <w:r w:rsidR="005021F2" w:rsidRPr="003C6FEE">
        <w:rPr>
          <w:rFonts w:asciiTheme="minorHAnsi" w:hAnsiTheme="minorHAnsi"/>
          <w:sz w:val="23"/>
          <w:szCs w:val="23"/>
        </w:rPr>
        <w:t>a concessionária do Sistema de Transporte C</w:t>
      </w:r>
      <w:r w:rsidRPr="003C6FEE">
        <w:rPr>
          <w:rFonts w:asciiTheme="minorHAnsi" w:hAnsiTheme="minorHAnsi"/>
          <w:sz w:val="23"/>
          <w:szCs w:val="23"/>
        </w:rPr>
        <w:t>oletivo urbano.</w:t>
      </w:r>
    </w:p>
    <w:p w:rsidR="00FF06AA" w:rsidRPr="003C6FEE" w:rsidRDefault="00FF06AA" w:rsidP="001E3A55">
      <w:pPr>
        <w:ind w:firstLine="1701"/>
        <w:jc w:val="both"/>
        <w:rPr>
          <w:rFonts w:asciiTheme="minorHAnsi" w:hAnsiTheme="minorHAnsi"/>
          <w:sz w:val="23"/>
          <w:szCs w:val="23"/>
        </w:rPr>
      </w:pPr>
    </w:p>
    <w:p w:rsidR="00073220" w:rsidRPr="003C6FEE" w:rsidRDefault="00073220" w:rsidP="001E3A55">
      <w:pPr>
        <w:ind w:firstLine="1701"/>
        <w:jc w:val="both"/>
        <w:rPr>
          <w:rFonts w:asciiTheme="minorHAnsi" w:hAnsiTheme="minorHAnsi"/>
          <w:b/>
          <w:sz w:val="23"/>
          <w:szCs w:val="23"/>
        </w:rPr>
      </w:pPr>
      <w:r w:rsidRPr="003C6FEE">
        <w:rPr>
          <w:rFonts w:asciiTheme="minorHAnsi" w:hAnsiTheme="minorHAnsi"/>
          <w:sz w:val="23"/>
          <w:szCs w:val="23"/>
        </w:rPr>
        <w:t>Art. 5º O tipo de veículo a ser adotado para fins de cál</w:t>
      </w:r>
      <w:r w:rsidR="009D2DFA" w:rsidRPr="003C6FEE">
        <w:rPr>
          <w:rFonts w:asciiTheme="minorHAnsi" w:hAnsiTheme="minorHAnsi"/>
          <w:sz w:val="23"/>
          <w:szCs w:val="23"/>
        </w:rPr>
        <w:t>culo tarifário, será o veículo h</w:t>
      </w:r>
      <w:r w:rsidRPr="003C6FEE">
        <w:rPr>
          <w:rFonts w:asciiTheme="minorHAnsi" w:hAnsiTheme="minorHAnsi"/>
          <w:sz w:val="23"/>
          <w:szCs w:val="23"/>
        </w:rPr>
        <w:t>íbrido, ou seja, aquele que representa a média dos modelos existentes na frota, considerando-se a categoria em que estiver classificado. Ponderada a relação ao valor do veículo zero quilômetro.</w:t>
      </w:r>
    </w:p>
    <w:p w:rsidR="00073220" w:rsidRPr="003C6FEE" w:rsidRDefault="00073220" w:rsidP="001E3A55">
      <w:pPr>
        <w:jc w:val="both"/>
        <w:rPr>
          <w:rFonts w:asciiTheme="minorHAnsi" w:hAnsiTheme="minorHAnsi"/>
          <w:sz w:val="23"/>
          <w:szCs w:val="23"/>
        </w:rPr>
      </w:pPr>
      <w:r w:rsidRPr="003C6FEE">
        <w:rPr>
          <w:rFonts w:asciiTheme="minorHAnsi" w:hAnsiTheme="minorHAnsi"/>
          <w:b/>
          <w:bCs/>
          <w:sz w:val="23"/>
          <w:szCs w:val="23"/>
        </w:rPr>
        <w:tab/>
      </w:r>
      <w:r w:rsidRPr="003C6FEE">
        <w:rPr>
          <w:rFonts w:asciiTheme="minorHAnsi" w:hAnsiTheme="minorHAnsi"/>
          <w:b/>
          <w:bCs/>
          <w:sz w:val="23"/>
          <w:szCs w:val="23"/>
        </w:rPr>
        <w:tab/>
      </w:r>
      <w:r w:rsidRPr="003C6FEE">
        <w:rPr>
          <w:rFonts w:asciiTheme="minorHAnsi" w:hAnsiTheme="minorHAnsi"/>
          <w:bCs/>
          <w:sz w:val="23"/>
          <w:szCs w:val="23"/>
        </w:rPr>
        <w:t>Parágrafo</w:t>
      </w:r>
      <w:r w:rsidRPr="003C6FEE">
        <w:rPr>
          <w:rFonts w:asciiTheme="minorHAnsi" w:hAnsiTheme="minorHAnsi"/>
          <w:b/>
          <w:bCs/>
          <w:sz w:val="23"/>
          <w:szCs w:val="23"/>
        </w:rPr>
        <w:t xml:space="preserve"> </w:t>
      </w:r>
      <w:r w:rsidR="00B747E8" w:rsidRPr="003C6FEE">
        <w:rPr>
          <w:rFonts w:asciiTheme="minorHAnsi" w:hAnsiTheme="minorHAnsi"/>
          <w:bCs/>
          <w:sz w:val="23"/>
          <w:szCs w:val="23"/>
        </w:rPr>
        <w:t>ú</w:t>
      </w:r>
      <w:r w:rsidRPr="003C6FEE">
        <w:rPr>
          <w:rFonts w:asciiTheme="minorHAnsi" w:hAnsiTheme="minorHAnsi"/>
          <w:bCs/>
          <w:sz w:val="23"/>
          <w:szCs w:val="23"/>
        </w:rPr>
        <w:t>nico</w:t>
      </w:r>
      <w:r w:rsidRPr="003C6FEE">
        <w:rPr>
          <w:rFonts w:asciiTheme="minorHAnsi" w:hAnsiTheme="minorHAnsi"/>
          <w:sz w:val="23"/>
          <w:szCs w:val="23"/>
        </w:rPr>
        <w:t>. Para fins de cálc</w:t>
      </w:r>
      <w:r w:rsidR="009D2DFA" w:rsidRPr="003C6FEE">
        <w:rPr>
          <w:rFonts w:asciiTheme="minorHAnsi" w:hAnsiTheme="minorHAnsi"/>
          <w:sz w:val="23"/>
          <w:szCs w:val="23"/>
        </w:rPr>
        <w:t>ulos do preço do veículo leve: v</w:t>
      </w:r>
      <w:r w:rsidRPr="003C6FEE">
        <w:rPr>
          <w:rFonts w:asciiTheme="minorHAnsi" w:hAnsiTheme="minorHAnsi"/>
          <w:sz w:val="23"/>
          <w:szCs w:val="23"/>
        </w:rPr>
        <w:t>eículo com motor dianteiro com potência de até 200HP. Para os veículos pesados será considerado o preço do veículo com motor dianteir</w:t>
      </w:r>
      <w:r w:rsidR="008F02EF" w:rsidRPr="003C6FEE">
        <w:rPr>
          <w:rFonts w:asciiTheme="minorHAnsi" w:hAnsiTheme="minorHAnsi"/>
          <w:sz w:val="23"/>
          <w:szCs w:val="23"/>
        </w:rPr>
        <w:t>o e com potência superior a 200</w:t>
      </w:r>
      <w:r w:rsidRPr="003C6FEE">
        <w:rPr>
          <w:rFonts w:asciiTheme="minorHAnsi" w:hAnsiTheme="minorHAnsi"/>
          <w:sz w:val="23"/>
          <w:szCs w:val="23"/>
        </w:rPr>
        <w:t>HP. O preço do veículo especial será os com motorização superior a 200HP equipado com articulação e/ou com eixo duplo na traseira. As carrocerias a serem utilizadas em veículos leves e pesados serão aquelas especificadas pelos fabricantes do Chassi bem como os respectivos preços.</w:t>
      </w:r>
    </w:p>
    <w:p w:rsidR="00FF06AA" w:rsidRPr="003C6FEE" w:rsidRDefault="00FF06AA" w:rsidP="001E3A55">
      <w:pPr>
        <w:jc w:val="both"/>
        <w:rPr>
          <w:rFonts w:asciiTheme="minorHAnsi" w:hAnsiTheme="minorHAnsi"/>
          <w:b/>
          <w:sz w:val="23"/>
          <w:szCs w:val="23"/>
        </w:rPr>
      </w:pP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Art. 6º A frota total do sistema será calculada pelo somatório da frota operante e frota reserva.</w:t>
      </w:r>
    </w:p>
    <w:p w:rsidR="00FF06AA" w:rsidRPr="003C6FEE" w:rsidRDefault="00FF06AA" w:rsidP="001E3A55">
      <w:pPr>
        <w:ind w:firstLine="1701"/>
        <w:jc w:val="both"/>
        <w:rPr>
          <w:rFonts w:asciiTheme="minorHAnsi" w:hAnsiTheme="minorHAnsi"/>
          <w:bCs/>
          <w:sz w:val="23"/>
          <w:szCs w:val="23"/>
        </w:rPr>
      </w:pP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bCs/>
          <w:sz w:val="23"/>
          <w:szCs w:val="23"/>
        </w:rPr>
        <w:t>Art</w:t>
      </w:r>
      <w:r w:rsidR="00B747E8" w:rsidRPr="003C6FEE">
        <w:rPr>
          <w:rFonts w:asciiTheme="minorHAnsi" w:hAnsiTheme="minorHAnsi"/>
          <w:bCs/>
          <w:sz w:val="23"/>
          <w:szCs w:val="23"/>
        </w:rPr>
        <w:t>.</w:t>
      </w:r>
      <w:r w:rsidRPr="003C6FEE">
        <w:rPr>
          <w:rFonts w:asciiTheme="minorHAnsi" w:hAnsiTheme="minorHAnsi"/>
          <w:bCs/>
          <w:sz w:val="23"/>
          <w:szCs w:val="23"/>
        </w:rPr>
        <w:t xml:space="preserve"> 7º</w:t>
      </w:r>
      <w:r w:rsidR="009D2DFA" w:rsidRPr="003C6FEE">
        <w:rPr>
          <w:rFonts w:asciiTheme="minorHAnsi" w:hAnsiTheme="minorHAnsi"/>
          <w:sz w:val="23"/>
          <w:szCs w:val="23"/>
        </w:rPr>
        <w:t xml:space="preserve"> O custo total por q</w:t>
      </w:r>
      <w:r w:rsidRPr="003C6FEE">
        <w:rPr>
          <w:rFonts w:asciiTheme="minorHAnsi" w:hAnsiTheme="minorHAnsi"/>
          <w:sz w:val="23"/>
          <w:szCs w:val="23"/>
        </w:rPr>
        <w:t xml:space="preserve">uilômetro é o resultado do total dos custos fixos (CF) dividido pelo Percurso </w:t>
      </w:r>
      <w:r w:rsidR="00E03CF0" w:rsidRPr="003C6FEE">
        <w:rPr>
          <w:rFonts w:asciiTheme="minorHAnsi" w:hAnsiTheme="minorHAnsi"/>
          <w:sz w:val="23"/>
          <w:szCs w:val="23"/>
        </w:rPr>
        <w:t>Médio Mensal (PMM) somados aos C</w:t>
      </w:r>
      <w:r w:rsidRPr="003C6FEE">
        <w:rPr>
          <w:rFonts w:asciiTheme="minorHAnsi" w:hAnsiTheme="minorHAnsi"/>
          <w:sz w:val="23"/>
          <w:szCs w:val="23"/>
        </w:rPr>
        <w:t>ustos Variáveis (CV).</w:t>
      </w:r>
    </w:p>
    <w:p w:rsidR="00073220" w:rsidRPr="003C6FEE" w:rsidRDefault="00073220" w:rsidP="001E3A55">
      <w:pPr>
        <w:ind w:firstLine="1701"/>
        <w:jc w:val="both"/>
        <w:rPr>
          <w:rFonts w:asciiTheme="minorHAnsi" w:hAnsiTheme="minorHAnsi"/>
          <w:b/>
          <w:sz w:val="23"/>
          <w:szCs w:val="23"/>
        </w:rPr>
      </w:pPr>
      <w:r w:rsidRPr="003C6FEE">
        <w:rPr>
          <w:rFonts w:asciiTheme="minorHAnsi" w:hAnsiTheme="minorHAnsi"/>
          <w:bCs/>
          <w:sz w:val="23"/>
          <w:szCs w:val="23"/>
        </w:rPr>
        <w:lastRenderedPageBreak/>
        <w:t>§1</w:t>
      </w:r>
      <w:r w:rsidR="00B747E8" w:rsidRPr="003C6FEE">
        <w:rPr>
          <w:rFonts w:asciiTheme="minorHAnsi" w:hAnsiTheme="minorHAnsi"/>
          <w:bCs/>
          <w:sz w:val="23"/>
          <w:szCs w:val="23"/>
        </w:rPr>
        <w:t>º</w:t>
      </w:r>
      <w:r w:rsidRPr="003C6FEE">
        <w:rPr>
          <w:rFonts w:asciiTheme="minorHAnsi" w:hAnsiTheme="minorHAnsi"/>
          <w:sz w:val="23"/>
          <w:szCs w:val="23"/>
        </w:rPr>
        <w:t xml:space="preserve"> O Percurso médio Mensal é resultado da divisão da quilometragem rodada pela frota do sistema, na unidade de tempo considerada, pelo total de veículos em operação no mesmo período.</w:t>
      </w:r>
    </w:p>
    <w:p w:rsidR="00073220" w:rsidRPr="003C6FEE" w:rsidRDefault="00073220" w:rsidP="001E3A55">
      <w:pPr>
        <w:ind w:firstLine="1701"/>
        <w:jc w:val="both"/>
        <w:rPr>
          <w:rFonts w:asciiTheme="minorHAnsi" w:hAnsiTheme="minorHAnsi"/>
          <w:sz w:val="23"/>
          <w:szCs w:val="23"/>
        </w:rPr>
      </w:pPr>
      <w:r w:rsidRPr="003C6FEE">
        <w:rPr>
          <w:rFonts w:asciiTheme="minorHAnsi" w:hAnsiTheme="minorHAnsi"/>
          <w:sz w:val="23"/>
          <w:szCs w:val="23"/>
        </w:rPr>
        <w:t>§2</w:t>
      </w:r>
      <w:r w:rsidR="00B747E8" w:rsidRPr="003C6FEE">
        <w:rPr>
          <w:rFonts w:asciiTheme="minorHAnsi" w:hAnsiTheme="minorHAnsi"/>
          <w:sz w:val="23"/>
          <w:szCs w:val="23"/>
        </w:rPr>
        <w:t>º</w:t>
      </w:r>
      <w:r w:rsidRPr="003C6FEE">
        <w:rPr>
          <w:rFonts w:asciiTheme="minorHAnsi" w:hAnsiTheme="minorHAnsi"/>
          <w:sz w:val="23"/>
          <w:szCs w:val="23"/>
        </w:rPr>
        <w:t xml:space="preserve"> Os dados necessários ao cálculo do PPM serão pesquisados no período de apuração da planilha de custos em meses disponíveis que anteceder ao cálculo tarifário, sendo que a quilometragem das empresas operadoras, na unidade de tempo, será obtida pela verificação e fiscalização dos odômetros dos veículos das concessionárias e/ou pela multiplicação da extensão de cada linha pelo respectivo número de viagens efetivamente realizadas, observando-se o número de dias úteis, sábados, domingos e feriados, acrescida a quilometragem percorrida entre a garagem e o ponto inicial/Final (quilometragem morta), que não poderá ser superior a 7% (sete por cento) da quilometragem percorrida pelos veículos de cada empresa (Quilometragem produtiva).</w:t>
      </w:r>
    </w:p>
    <w:p w:rsidR="00FF06AA" w:rsidRPr="003C6FEE" w:rsidRDefault="00FF06AA" w:rsidP="001E3A55">
      <w:pPr>
        <w:ind w:firstLine="1701"/>
        <w:jc w:val="both"/>
        <w:rPr>
          <w:rFonts w:asciiTheme="minorHAnsi" w:hAnsiTheme="minorHAnsi"/>
          <w:b/>
          <w:sz w:val="23"/>
          <w:szCs w:val="23"/>
        </w:rPr>
      </w:pPr>
    </w:p>
    <w:p w:rsidR="00073220" w:rsidRPr="003C6FEE" w:rsidRDefault="00073220" w:rsidP="006A5BEF">
      <w:pPr>
        <w:tabs>
          <w:tab w:val="left" w:pos="1701"/>
        </w:tabs>
        <w:jc w:val="both"/>
        <w:rPr>
          <w:rFonts w:asciiTheme="minorHAnsi" w:hAnsiTheme="minorHAnsi"/>
          <w:sz w:val="23"/>
          <w:szCs w:val="23"/>
        </w:rPr>
      </w:pPr>
      <w:r w:rsidRPr="003C6FEE">
        <w:rPr>
          <w:rFonts w:asciiTheme="minorHAnsi" w:hAnsiTheme="minorHAnsi"/>
          <w:b/>
          <w:sz w:val="23"/>
          <w:szCs w:val="23"/>
        </w:rPr>
        <w:tab/>
      </w:r>
      <w:r w:rsidRPr="003C6FEE">
        <w:rPr>
          <w:rFonts w:asciiTheme="minorHAnsi" w:hAnsiTheme="minorHAnsi"/>
          <w:sz w:val="23"/>
          <w:szCs w:val="23"/>
        </w:rPr>
        <w:t>Art</w:t>
      </w:r>
      <w:r w:rsidR="008F02EF" w:rsidRPr="003C6FEE">
        <w:rPr>
          <w:rFonts w:asciiTheme="minorHAnsi" w:hAnsiTheme="minorHAnsi"/>
          <w:sz w:val="23"/>
          <w:szCs w:val="23"/>
        </w:rPr>
        <w:t>.</w:t>
      </w:r>
      <w:r w:rsidRPr="003C6FEE">
        <w:rPr>
          <w:rFonts w:asciiTheme="minorHAnsi" w:hAnsiTheme="minorHAnsi"/>
          <w:sz w:val="23"/>
          <w:szCs w:val="23"/>
        </w:rPr>
        <w:t xml:space="preserve"> 8º Para cada estudo técnico ta</w:t>
      </w:r>
      <w:r w:rsidR="00E03CF0" w:rsidRPr="003C6FEE">
        <w:rPr>
          <w:rFonts w:asciiTheme="minorHAnsi" w:hAnsiTheme="minorHAnsi"/>
          <w:sz w:val="23"/>
          <w:szCs w:val="23"/>
        </w:rPr>
        <w:t>rifário, deverá se calculado o Índice de Passageiro por Q</w:t>
      </w:r>
      <w:r w:rsidRPr="003C6FEE">
        <w:rPr>
          <w:rFonts w:asciiTheme="minorHAnsi" w:hAnsiTheme="minorHAnsi"/>
          <w:sz w:val="23"/>
          <w:szCs w:val="23"/>
        </w:rPr>
        <w:t xml:space="preserve">uilômetro (IPK), considerando-se os dados pesquisados no período de apuração das planilhas de custo dos meses disponíveis que anteceder ao cálculo tarifário, obtendo-se o IPK, através da divisão total de Passageiros </w:t>
      </w:r>
      <w:proofErr w:type="gramStart"/>
      <w:r w:rsidRPr="003C6FEE">
        <w:rPr>
          <w:rFonts w:asciiTheme="minorHAnsi" w:hAnsiTheme="minorHAnsi"/>
          <w:sz w:val="23"/>
          <w:szCs w:val="23"/>
        </w:rPr>
        <w:t>Equivalentes  (</w:t>
      </w:r>
      <w:proofErr w:type="gramEnd"/>
      <w:r w:rsidRPr="003C6FEE">
        <w:rPr>
          <w:rFonts w:asciiTheme="minorHAnsi" w:hAnsiTheme="minorHAnsi"/>
          <w:sz w:val="23"/>
          <w:szCs w:val="23"/>
        </w:rPr>
        <w:t>PE), na unidade de tempo considerada, pelo total da quilometragem percorrida pela frota do sistema, na mesma unidade de tempo.</w:t>
      </w:r>
    </w:p>
    <w:p w:rsidR="00073220" w:rsidRPr="003C6FEE" w:rsidRDefault="00B747E8" w:rsidP="001E3A55">
      <w:pPr>
        <w:tabs>
          <w:tab w:val="left" w:pos="1701"/>
        </w:tabs>
        <w:jc w:val="both"/>
        <w:rPr>
          <w:rFonts w:asciiTheme="minorHAnsi" w:hAnsiTheme="minorHAnsi"/>
          <w:sz w:val="23"/>
          <w:szCs w:val="23"/>
        </w:rPr>
      </w:pPr>
      <w:r w:rsidRPr="003C6FEE">
        <w:rPr>
          <w:rFonts w:asciiTheme="minorHAnsi" w:hAnsiTheme="minorHAnsi"/>
          <w:sz w:val="23"/>
          <w:szCs w:val="23"/>
        </w:rPr>
        <w:tab/>
      </w:r>
      <w:r w:rsidRPr="003C6FEE">
        <w:rPr>
          <w:rFonts w:asciiTheme="minorHAnsi" w:hAnsiTheme="minorHAnsi"/>
          <w:sz w:val="23"/>
          <w:szCs w:val="23"/>
        </w:rPr>
        <w:tab/>
        <w:t>Parágrafo ú</w:t>
      </w:r>
      <w:r w:rsidR="00073220" w:rsidRPr="003C6FEE">
        <w:rPr>
          <w:rFonts w:asciiTheme="minorHAnsi" w:hAnsiTheme="minorHAnsi"/>
          <w:sz w:val="23"/>
          <w:szCs w:val="23"/>
        </w:rPr>
        <w:t xml:space="preserve">nico Passageiro Equivalente (PE) é o número de passageiros nos dias úteis, sábados, domingos e feriados, obtido pela </w:t>
      </w:r>
      <w:r w:rsidR="00E03CF0" w:rsidRPr="003C6FEE">
        <w:rPr>
          <w:rFonts w:asciiTheme="minorHAnsi" w:hAnsiTheme="minorHAnsi"/>
          <w:sz w:val="23"/>
          <w:szCs w:val="23"/>
        </w:rPr>
        <w:t>Secretaria de Município de Mobilidade Urbana</w:t>
      </w:r>
      <w:r w:rsidR="00073220" w:rsidRPr="003C6FEE">
        <w:rPr>
          <w:rFonts w:asciiTheme="minorHAnsi" w:hAnsiTheme="minorHAnsi"/>
          <w:sz w:val="23"/>
          <w:szCs w:val="23"/>
        </w:rPr>
        <w:t>, em uma unidade de tempo, levando-se em consideração as tarifas pagas integralmente, as tarifas com descontos e os passageiros isentos.</w:t>
      </w:r>
    </w:p>
    <w:p w:rsidR="00B747E8" w:rsidRPr="003C6FEE" w:rsidRDefault="00B747E8" w:rsidP="001E3A55">
      <w:pPr>
        <w:tabs>
          <w:tab w:val="left" w:pos="1701"/>
        </w:tabs>
        <w:jc w:val="both"/>
        <w:rPr>
          <w:rFonts w:asciiTheme="minorHAnsi" w:hAnsiTheme="minorHAnsi"/>
          <w:b/>
          <w:sz w:val="23"/>
          <w:szCs w:val="23"/>
        </w:rPr>
      </w:pPr>
    </w:p>
    <w:p w:rsidR="00073220" w:rsidRPr="003C6FEE" w:rsidRDefault="00E03CF0" w:rsidP="001E3A55">
      <w:pPr>
        <w:ind w:firstLine="1701"/>
        <w:jc w:val="both"/>
        <w:rPr>
          <w:rFonts w:asciiTheme="minorHAnsi" w:hAnsiTheme="minorHAnsi"/>
          <w:sz w:val="23"/>
          <w:szCs w:val="23"/>
        </w:rPr>
      </w:pPr>
      <w:r w:rsidRPr="003C6FEE">
        <w:rPr>
          <w:rFonts w:asciiTheme="minorHAnsi" w:hAnsiTheme="minorHAnsi"/>
          <w:sz w:val="23"/>
          <w:szCs w:val="23"/>
        </w:rPr>
        <w:t>Art. 9º Tarifa C</w:t>
      </w:r>
      <w:r w:rsidR="00073220" w:rsidRPr="003C6FEE">
        <w:rPr>
          <w:rFonts w:asciiTheme="minorHAnsi" w:hAnsiTheme="minorHAnsi"/>
          <w:sz w:val="23"/>
          <w:szCs w:val="23"/>
        </w:rPr>
        <w:t>alculada (TC) é o resultado da divisão do custo total por quilômetro (CT/KM) acresc</w:t>
      </w:r>
      <w:r w:rsidRPr="003C6FEE">
        <w:rPr>
          <w:rFonts w:asciiTheme="minorHAnsi" w:hAnsiTheme="minorHAnsi"/>
          <w:sz w:val="23"/>
          <w:szCs w:val="23"/>
        </w:rPr>
        <w:t>ido do valor dos tributos pelo Índice de P</w:t>
      </w:r>
      <w:r w:rsidR="00073220" w:rsidRPr="003C6FEE">
        <w:rPr>
          <w:rFonts w:asciiTheme="minorHAnsi" w:hAnsiTheme="minorHAnsi"/>
          <w:sz w:val="23"/>
          <w:szCs w:val="23"/>
        </w:rPr>
        <w:t>a</w:t>
      </w:r>
      <w:r w:rsidRPr="003C6FEE">
        <w:rPr>
          <w:rFonts w:asciiTheme="minorHAnsi" w:hAnsiTheme="minorHAnsi"/>
          <w:sz w:val="23"/>
          <w:szCs w:val="23"/>
        </w:rPr>
        <w:t>ssageiros por Q</w:t>
      </w:r>
      <w:r w:rsidR="00073220" w:rsidRPr="003C6FEE">
        <w:rPr>
          <w:rFonts w:asciiTheme="minorHAnsi" w:hAnsiTheme="minorHAnsi"/>
          <w:sz w:val="23"/>
          <w:szCs w:val="23"/>
        </w:rPr>
        <w:t>uilômetro (IPK)</w:t>
      </w:r>
    </w:p>
    <w:p w:rsidR="001E3A55" w:rsidRPr="003C6FEE" w:rsidRDefault="001E3A55" w:rsidP="001E3A55">
      <w:pPr>
        <w:ind w:firstLine="1701"/>
        <w:jc w:val="both"/>
        <w:rPr>
          <w:rFonts w:asciiTheme="minorHAnsi" w:hAnsiTheme="minorHAnsi"/>
          <w:sz w:val="23"/>
          <w:szCs w:val="23"/>
        </w:rPr>
      </w:pPr>
    </w:p>
    <w:p w:rsidR="00073220" w:rsidRPr="003C6FEE" w:rsidRDefault="001E3A55" w:rsidP="001E3A55">
      <w:pPr>
        <w:ind w:firstLine="1701"/>
        <w:jc w:val="both"/>
        <w:rPr>
          <w:rFonts w:asciiTheme="minorHAnsi" w:hAnsiTheme="minorHAnsi"/>
          <w:sz w:val="23"/>
          <w:szCs w:val="23"/>
        </w:rPr>
      </w:pPr>
      <w:r w:rsidRPr="003C6FEE">
        <w:rPr>
          <w:rFonts w:asciiTheme="minorHAnsi" w:hAnsiTheme="minorHAnsi"/>
          <w:sz w:val="23"/>
          <w:szCs w:val="23"/>
        </w:rPr>
        <w:t>Art. 10.</w:t>
      </w:r>
      <w:r w:rsidR="00073220" w:rsidRPr="003C6FEE">
        <w:rPr>
          <w:rFonts w:asciiTheme="minorHAnsi" w:hAnsiTheme="minorHAnsi"/>
          <w:sz w:val="23"/>
          <w:szCs w:val="23"/>
        </w:rPr>
        <w:t xml:space="preserve"> Os estudos da revisão tarifária poderão ser solicitados pelas empresas concessionárias do sistema de transporte coletivo por ônibus, quando houver revisão salarial da categoria dos trabalhadores rodoviários, através do respectivo dissídio coletivo, ou quando os custos do sistema desde o último reajuste, comprometerem o equilíbrio econômico financeiro das operadoras.</w:t>
      </w:r>
    </w:p>
    <w:p w:rsidR="001E3A55" w:rsidRPr="003C6FEE" w:rsidRDefault="001E3A55" w:rsidP="001E3A55">
      <w:pPr>
        <w:ind w:firstLine="1701"/>
        <w:jc w:val="both"/>
        <w:rPr>
          <w:rFonts w:asciiTheme="minorHAnsi" w:hAnsiTheme="minorHAnsi"/>
          <w:sz w:val="23"/>
          <w:szCs w:val="23"/>
        </w:rPr>
      </w:pPr>
    </w:p>
    <w:p w:rsidR="004A71F9" w:rsidRPr="003C6FEE" w:rsidRDefault="001E3A55" w:rsidP="001E3A55">
      <w:pPr>
        <w:ind w:firstLine="1701"/>
        <w:jc w:val="both"/>
        <w:rPr>
          <w:rFonts w:asciiTheme="minorHAnsi" w:hAnsiTheme="minorHAnsi" w:cs="Arial"/>
          <w:sz w:val="23"/>
          <w:szCs w:val="23"/>
          <w:lang w:eastAsia="pt-BR"/>
        </w:rPr>
      </w:pPr>
      <w:r w:rsidRPr="003C6FEE">
        <w:rPr>
          <w:rFonts w:asciiTheme="minorHAnsi" w:hAnsiTheme="minorHAnsi"/>
          <w:sz w:val="23"/>
          <w:szCs w:val="23"/>
        </w:rPr>
        <w:t>Art</w:t>
      </w:r>
      <w:r w:rsidR="006A5BEF" w:rsidRPr="003C6FEE">
        <w:rPr>
          <w:rFonts w:asciiTheme="minorHAnsi" w:hAnsiTheme="minorHAnsi"/>
          <w:sz w:val="23"/>
          <w:szCs w:val="23"/>
        </w:rPr>
        <w:t>.</w:t>
      </w:r>
      <w:r w:rsidRPr="003C6FEE">
        <w:rPr>
          <w:rFonts w:asciiTheme="minorHAnsi" w:hAnsiTheme="minorHAnsi"/>
          <w:sz w:val="23"/>
          <w:szCs w:val="23"/>
        </w:rPr>
        <w:t xml:space="preserve"> 11.</w:t>
      </w:r>
      <w:r w:rsidR="00073220" w:rsidRPr="003C6FEE">
        <w:rPr>
          <w:rFonts w:asciiTheme="minorHAnsi" w:hAnsiTheme="minorHAnsi"/>
          <w:sz w:val="23"/>
          <w:szCs w:val="23"/>
        </w:rPr>
        <w:t xml:space="preserve"> Os itens de consumo de combustível, consumo de óleos lubrificantes, rodagens, peças, acessórios e outras despesas, incluída as com pessoal de manutenção e de administração, deverão ter seus coeficientes revisados pela </w:t>
      </w:r>
      <w:r w:rsidR="003C6FEE" w:rsidRPr="003C6FEE">
        <w:rPr>
          <w:rFonts w:asciiTheme="minorHAnsi" w:hAnsiTheme="minorHAnsi"/>
          <w:sz w:val="23"/>
          <w:szCs w:val="23"/>
        </w:rPr>
        <w:t>Secretaria de Município de Mobilidade Urbana</w:t>
      </w:r>
      <w:r w:rsidR="00073220" w:rsidRPr="003C6FEE">
        <w:rPr>
          <w:rFonts w:asciiTheme="minorHAnsi" w:hAnsiTheme="minorHAnsi"/>
          <w:sz w:val="23"/>
          <w:szCs w:val="23"/>
        </w:rPr>
        <w:t xml:space="preserve">, no prazo máximo de 5 </w:t>
      </w:r>
      <w:r w:rsidR="003C6FEE" w:rsidRPr="003C6FEE">
        <w:rPr>
          <w:rFonts w:asciiTheme="minorHAnsi" w:hAnsiTheme="minorHAnsi"/>
          <w:sz w:val="23"/>
          <w:szCs w:val="23"/>
        </w:rPr>
        <w:t xml:space="preserve">(cinco) </w:t>
      </w:r>
      <w:r w:rsidR="00073220" w:rsidRPr="003C6FEE">
        <w:rPr>
          <w:rFonts w:asciiTheme="minorHAnsi" w:hAnsiTheme="minorHAnsi"/>
          <w:sz w:val="23"/>
          <w:szCs w:val="23"/>
        </w:rPr>
        <w:t>anos a contar da última revisão</w:t>
      </w:r>
      <w:r w:rsidR="00FF06AA" w:rsidRPr="003C6FEE">
        <w:rPr>
          <w:rFonts w:asciiTheme="minorHAnsi" w:hAnsiTheme="minorHAnsi"/>
          <w:sz w:val="23"/>
          <w:szCs w:val="23"/>
        </w:rPr>
        <w:t>.</w:t>
      </w:r>
    </w:p>
    <w:p w:rsidR="00FC3646" w:rsidRPr="003C6FEE" w:rsidRDefault="00FC3646" w:rsidP="009F41A7">
      <w:pPr>
        <w:ind w:firstLine="1650"/>
        <w:jc w:val="both"/>
        <w:rPr>
          <w:rFonts w:asciiTheme="minorHAnsi" w:hAnsiTheme="minorHAnsi"/>
          <w:sz w:val="23"/>
          <w:szCs w:val="23"/>
          <w:lang w:eastAsia="pt-BR"/>
        </w:rPr>
      </w:pPr>
    </w:p>
    <w:p w:rsidR="004A71F9" w:rsidRPr="003C6FEE" w:rsidRDefault="002C7DE9" w:rsidP="005555FC">
      <w:pPr>
        <w:ind w:firstLine="1701"/>
        <w:rPr>
          <w:rFonts w:asciiTheme="minorHAnsi" w:hAnsiTheme="minorHAnsi"/>
          <w:sz w:val="23"/>
          <w:szCs w:val="23"/>
          <w:lang w:eastAsia="pt-BR"/>
        </w:rPr>
      </w:pPr>
      <w:r w:rsidRPr="003C6FEE">
        <w:rPr>
          <w:rFonts w:asciiTheme="minorHAnsi" w:hAnsiTheme="minorHAnsi" w:cs="Arial"/>
          <w:sz w:val="23"/>
          <w:szCs w:val="23"/>
          <w:lang w:eastAsia="pt-BR"/>
        </w:rPr>
        <w:t>Ar</w:t>
      </w:r>
      <w:r w:rsidR="001E3A55" w:rsidRPr="003C6FEE">
        <w:rPr>
          <w:rFonts w:asciiTheme="minorHAnsi" w:hAnsiTheme="minorHAnsi" w:cs="Arial"/>
          <w:sz w:val="23"/>
          <w:szCs w:val="23"/>
          <w:lang w:eastAsia="pt-BR"/>
        </w:rPr>
        <w:t>t. 12</w:t>
      </w:r>
      <w:r w:rsidR="00354780" w:rsidRPr="003C6FEE">
        <w:rPr>
          <w:rFonts w:asciiTheme="minorHAnsi" w:hAnsiTheme="minorHAnsi" w:cs="Arial"/>
          <w:sz w:val="23"/>
          <w:szCs w:val="23"/>
          <w:lang w:eastAsia="pt-BR"/>
        </w:rPr>
        <w:t>.</w:t>
      </w:r>
      <w:r w:rsidR="004A71F9" w:rsidRPr="003C6FEE">
        <w:rPr>
          <w:rFonts w:asciiTheme="minorHAnsi" w:hAnsiTheme="minorHAnsi" w:cs="Arial"/>
          <w:sz w:val="23"/>
          <w:szCs w:val="23"/>
          <w:lang w:eastAsia="pt-BR"/>
        </w:rPr>
        <w:t xml:space="preserve"> Este Decreto entra em vigor na data de sua publicação.</w:t>
      </w:r>
    </w:p>
    <w:p w:rsidR="00D552B6" w:rsidRPr="003C6FEE" w:rsidRDefault="00D552B6" w:rsidP="00073220">
      <w:pPr>
        <w:tabs>
          <w:tab w:val="left" w:pos="1701"/>
        </w:tabs>
        <w:jc w:val="both"/>
        <w:rPr>
          <w:rFonts w:asciiTheme="minorHAnsi" w:hAnsiTheme="minorHAnsi"/>
          <w:sz w:val="23"/>
          <w:szCs w:val="23"/>
        </w:rPr>
      </w:pPr>
    </w:p>
    <w:p w:rsidR="00FC3646" w:rsidRPr="003C6FEE" w:rsidRDefault="00FC3646" w:rsidP="008746E0">
      <w:pPr>
        <w:pStyle w:val="Corpodetexto"/>
        <w:ind w:firstLine="1701"/>
        <w:rPr>
          <w:rFonts w:asciiTheme="minorHAnsi" w:hAnsiTheme="minorHAnsi"/>
          <w:sz w:val="23"/>
          <w:szCs w:val="23"/>
        </w:rPr>
      </w:pPr>
      <w:r w:rsidRPr="003C6FEE">
        <w:rPr>
          <w:rFonts w:asciiTheme="minorHAnsi" w:hAnsiTheme="minorHAnsi"/>
          <w:b/>
          <w:sz w:val="23"/>
          <w:szCs w:val="23"/>
        </w:rPr>
        <w:t>Casa Civil</w:t>
      </w:r>
      <w:r w:rsidRPr="003C6FEE">
        <w:rPr>
          <w:rFonts w:asciiTheme="minorHAnsi" w:hAnsiTheme="minorHAnsi"/>
          <w:sz w:val="23"/>
          <w:szCs w:val="23"/>
        </w:rPr>
        <w:t>, em Santa Maria,</w:t>
      </w:r>
      <w:r w:rsidRPr="003C6FEE">
        <w:rPr>
          <w:rFonts w:asciiTheme="minorHAnsi" w:hAnsiTheme="minorHAnsi"/>
          <w:b/>
          <w:sz w:val="23"/>
          <w:szCs w:val="23"/>
        </w:rPr>
        <w:t xml:space="preserve"> </w:t>
      </w:r>
      <w:r w:rsidRPr="003C6FEE">
        <w:rPr>
          <w:rFonts w:asciiTheme="minorHAnsi" w:hAnsiTheme="minorHAnsi"/>
          <w:sz w:val="23"/>
          <w:szCs w:val="23"/>
        </w:rPr>
        <w:t xml:space="preserve">aos </w:t>
      </w:r>
      <w:r w:rsidR="00D0028D">
        <w:rPr>
          <w:rFonts w:asciiTheme="minorHAnsi" w:hAnsiTheme="minorHAnsi"/>
          <w:sz w:val="23"/>
          <w:szCs w:val="23"/>
        </w:rPr>
        <w:t>26</w:t>
      </w:r>
      <w:r w:rsidRPr="003C6FEE">
        <w:rPr>
          <w:rFonts w:asciiTheme="minorHAnsi" w:hAnsiTheme="minorHAnsi"/>
          <w:sz w:val="23"/>
          <w:szCs w:val="23"/>
        </w:rPr>
        <w:t xml:space="preserve"> dias do mês de </w:t>
      </w:r>
      <w:r w:rsidR="00D0028D">
        <w:rPr>
          <w:rFonts w:asciiTheme="minorHAnsi" w:hAnsiTheme="minorHAnsi"/>
          <w:sz w:val="23"/>
          <w:szCs w:val="23"/>
        </w:rPr>
        <w:t>abril</w:t>
      </w:r>
      <w:r w:rsidRPr="003C6FEE">
        <w:rPr>
          <w:rFonts w:asciiTheme="minorHAnsi" w:hAnsiTheme="minorHAnsi"/>
          <w:sz w:val="23"/>
          <w:szCs w:val="23"/>
        </w:rPr>
        <w:t xml:space="preserve"> de 2018.</w:t>
      </w:r>
    </w:p>
    <w:p w:rsidR="00FC3646" w:rsidRPr="003C6FEE" w:rsidRDefault="00FC3646" w:rsidP="007E7C49">
      <w:pPr>
        <w:pStyle w:val="Ttulo3"/>
        <w:numPr>
          <w:ilvl w:val="0"/>
          <w:numId w:val="0"/>
        </w:numPr>
        <w:ind w:left="720" w:hanging="360"/>
        <w:rPr>
          <w:rFonts w:asciiTheme="minorHAnsi" w:hAnsiTheme="minorHAnsi"/>
          <w:sz w:val="23"/>
          <w:szCs w:val="23"/>
        </w:rPr>
      </w:pPr>
    </w:p>
    <w:p w:rsidR="00ED0D05" w:rsidRPr="003C6FEE" w:rsidRDefault="00ED0D05" w:rsidP="00FC3646">
      <w:pPr>
        <w:pStyle w:val="Corpodetexto"/>
        <w:ind w:right="281"/>
        <w:jc w:val="center"/>
        <w:rPr>
          <w:rFonts w:asciiTheme="minorHAnsi" w:hAnsiTheme="minorHAnsi"/>
          <w:b/>
          <w:sz w:val="23"/>
          <w:szCs w:val="23"/>
        </w:rPr>
      </w:pPr>
    </w:p>
    <w:p w:rsidR="00ED0D05" w:rsidRPr="003C6FEE" w:rsidRDefault="00ED0D05" w:rsidP="00FC3646">
      <w:pPr>
        <w:pStyle w:val="Corpodetexto"/>
        <w:ind w:right="281"/>
        <w:jc w:val="center"/>
        <w:rPr>
          <w:rFonts w:asciiTheme="minorHAnsi" w:hAnsiTheme="minorHAnsi"/>
          <w:b/>
          <w:sz w:val="23"/>
          <w:szCs w:val="23"/>
        </w:rPr>
      </w:pPr>
    </w:p>
    <w:p w:rsidR="00ED0D05" w:rsidRPr="003C6FEE" w:rsidRDefault="00ED0D05" w:rsidP="00FC3646">
      <w:pPr>
        <w:pStyle w:val="Corpodetexto"/>
        <w:ind w:right="281"/>
        <w:jc w:val="center"/>
        <w:rPr>
          <w:rFonts w:asciiTheme="minorHAnsi" w:hAnsiTheme="minorHAnsi"/>
          <w:b/>
          <w:sz w:val="23"/>
          <w:szCs w:val="23"/>
        </w:rPr>
      </w:pPr>
    </w:p>
    <w:p w:rsidR="00FC3646" w:rsidRPr="003C6FEE" w:rsidRDefault="00FC3646" w:rsidP="00FC3646">
      <w:pPr>
        <w:pStyle w:val="Corpodetexto"/>
        <w:ind w:right="281"/>
        <w:jc w:val="center"/>
        <w:rPr>
          <w:rFonts w:asciiTheme="minorHAnsi" w:hAnsiTheme="minorHAnsi"/>
          <w:b/>
          <w:sz w:val="23"/>
          <w:szCs w:val="23"/>
        </w:rPr>
      </w:pPr>
      <w:r w:rsidRPr="003C6FEE">
        <w:rPr>
          <w:rFonts w:asciiTheme="minorHAnsi" w:hAnsiTheme="minorHAnsi"/>
          <w:b/>
          <w:sz w:val="23"/>
          <w:szCs w:val="23"/>
        </w:rPr>
        <w:t>Jorge Cladistone Pozzobom</w:t>
      </w:r>
    </w:p>
    <w:p w:rsidR="00F01333" w:rsidRPr="003C6FEE" w:rsidRDefault="00FC3646" w:rsidP="007E7C49">
      <w:pPr>
        <w:pStyle w:val="Corpodetexto"/>
        <w:ind w:right="281"/>
        <w:jc w:val="center"/>
        <w:rPr>
          <w:rFonts w:asciiTheme="minorHAnsi" w:hAnsiTheme="minorHAnsi"/>
          <w:sz w:val="23"/>
          <w:szCs w:val="23"/>
        </w:rPr>
      </w:pPr>
      <w:r w:rsidRPr="003C6FEE">
        <w:rPr>
          <w:rFonts w:asciiTheme="minorHAnsi" w:hAnsiTheme="minorHAnsi"/>
          <w:sz w:val="23"/>
          <w:szCs w:val="23"/>
        </w:rPr>
        <w:t>Prefeito Municipal</w:t>
      </w:r>
    </w:p>
    <w:sectPr w:rsidR="00F01333" w:rsidRPr="003C6FEE" w:rsidSect="0052742B">
      <w:headerReference w:type="default" r:id="rId8"/>
      <w:footerReference w:type="default" r:id="rId9"/>
      <w:pgSz w:w="11905" w:h="16837"/>
      <w:pgMar w:top="1701" w:right="1134" w:bottom="1134" w:left="1701"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3E" w:rsidRDefault="00FD133E">
      <w:r>
        <w:separator/>
      </w:r>
    </w:p>
  </w:endnote>
  <w:endnote w:type="continuationSeparator" w:id="0">
    <w:p w:rsidR="00FD133E" w:rsidRDefault="00FD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FA" w:rsidRDefault="009D2DFA">
    <w:pPr>
      <w:pBdr>
        <w:top w:val="single" w:sz="1" w:space="1" w:color="000000"/>
      </w:pBdr>
      <w:jc w:val="center"/>
      <w:rPr>
        <w:rFonts w:ascii="Arial" w:hAnsi="Arial" w:cs="Arial"/>
        <w:b/>
        <w:color w:val="000000"/>
        <w:sz w:val="14"/>
        <w:szCs w:val="14"/>
      </w:rPr>
    </w:pPr>
  </w:p>
  <w:p w:rsidR="009D2DFA" w:rsidRDefault="009D2DFA">
    <w:pPr>
      <w:jc w:val="center"/>
      <w:rPr>
        <w:rFonts w:ascii="Arial" w:hAnsi="Arial" w:cs="Arial"/>
        <w:color w:val="000000"/>
        <w:sz w:val="14"/>
        <w:szCs w:val="14"/>
      </w:rPr>
    </w:pPr>
    <w:r>
      <w:rPr>
        <w:rFonts w:ascii="Arial" w:hAnsi="Arial" w:cs="Arial"/>
        <w:color w:val="000000"/>
        <w:sz w:val="14"/>
        <w:szCs w:val="14"/>
      </w:rPr>
      <w:t xml:space="preserve">Rua Venâncio Aires, 2277, 3º andar </w:t>
    </w:r>
    <w:proofErr w:type="gramStart"/>
    <w:r>
      <w:rPr>
        <w:rFonts w:ascii="Arial" w:hAnsi="Arial" w:cs="Arial"/>
        <w:color w:val="000000"/>
        <w:sz w:val="14"/>
        <w:szCs w:val="14"/>
      </w:rPr>
      <w:t>–  Santa</w:t>
    </w:r>
    <w:proofErr w:type="gramEnd"/>
    <w:r>
      <w:rPr>
        <w:rFonts w:ascii="Arial" w:hAnsi="Arial" w:cs="Arial"/>
        <w:color w:val="000000"/>
        <w:sz w:val="14"/>
        <w:szCs w:val="14"/>
      </w:rPr>
      <w:t xml:space="preserve"> Maria  – RS – Brasil – CEP: 97010-005 – Telefone: 55 3921- </w:t>
    </w:r>
    <w:r>
      <w:rPr>
        <w:rFonts w:ascii="Arial" w:hAnsi="Arial" w:cs="Arial"/>
        <w:color w:val="000000"/>
        <w:sz w:val="14"/>
        <w:szCs w:val="14"/>
      </w:rPr>
      <w:softHyphen/>
    </w:r>
    <w:r>
      <w:rPr>
        <w:rFonts w:ascii="Arial" w:hAnsi="Arial" w:cs="Arial"/>
        <w:color w:val="000000"/>
        <w:sz w:val="14"/>
        <w:szCs w:val="14"/>
      </w:rPr>
      <w:softHyphen/>
    </w:r>
    <w:r>
      <w:rPr>
        <w:rFonts w:ascii="Arial" w:hAnsi="Arial" w:cs="Arial"/>
        <w:color w:val="000000"/>
        <w:sz w:val="14"/>
        <w:szCs w:val="14"/>
      </w:rPr>
      <w:softHyphen/>
    </w:r>
    <w:r>
      <w:rPr>
        <w:rFonts w:ascii="Arial" w:hAnsi="Arial" w:cs="Arial"/>
        <w:color w:val="000000"/>
        <w:sz w:val="14"/>
        <w:szCs w:val="14"/>
      </w:rPr>
      <w:softHyphen/>
      <w:t>....7153</w:t>
    </w:r>
  </w:p>
  <w:p w:rsidR="009D2DFA" w:rsidRDefault="009D2DFA">
    <w:pPr>
      <w:jc w:val="center"/>
      <w:rPr>
        <w:rFonts w:ascii="Arial" w:hAnsi="Arial" w:cs="Arial"/>
        <w:sz w:val="14"/>
        <w:szCs w:val="14"/>
      </w:rPr>
    </w:pPr>
    <w:r>
      <w:rPr>
        <w:rFonts w:ascii="Arial" w:hAnsi="Arial" w:cs="Arial"/>
        <w:sz w:val="14"/>
        <w:szCs w:val="14"/>
      </w:rPr>
      <w:t xml:space="preserve"> Site: www.santamaria.rs.gov.br</w:t>
    </w:r>
  </w:p>
  <w:p w:rsidR="009D2DFA" w:rsidRDefault="009D2DFA">
    <w:pPr>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3E" w:rsidRDefault="00FD133E">
      <w:r>
        <w:separator/>
      </w:r>
    </w:p>
  </w:footnote>
  <w:footnote w:type="continuationSeparator" w:id="0">
    <w:p w:rsidR="00FD133E" w:rsidRDefault="00FD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FA" w:rsidRPr="00336D4B" w:rsidRDefault="009D2DFA" w:rsidP="008F730B">
    <w:pPr>
      <w:pStyle w:val="Cabealho"/>
    </w:pPr>
    <w:r w:rsidRPr="00336D4B">
      <w:rPr>
        <w:noProof/>
        <w:lang w:eastAsia="pt-BR"/>
      </w:rPr>
      <w:drawing>
        <wp:anchor distT="0" distB="0" distL="114300" distR="114300" simplePos="0" relativeHeight="251657216" behindDoc="0" locked="0" layoutInCell="1" allowOverlap="1">
          <wp:simplePos x="0" y="0"/>
          <wp:positionH relativeFrom="column">
            <wp:posOffset>4488815</wp:posOffset>
          </wp:positionH>
          <wp:positionV relativeFrom="paragraph">
            <wp:posOffset>-123825</wp:posOffset>
          </wp:positionV>
          <wp:extent cx="1508760" cy="819785"/>
          <wp:effectExtent l="1905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08760" cy="819785"/>
                  </a:xfrm>
                  <a:prstGeom prst="rect">
                    <a:avLst/>
                  </a:prstGeom>
                  <a:noFill/>
                </pic:spPr>
              </pic:pic>
            </a:graphicData>
          </a:graphic>
        </wp:anchor>
      </w:drawing>
    </w:r>
    <w:r w:rsidRPr="00336D4B">
      <w:t>ESTADO DO RIO GRANDE DO SUL</w:t>
    </w:r>
  </w:p>
  <w:p w:rsidR="009D2DFA" w:rsidRPr="00336D4B" w:rsidRDefault="009D2DFA" w:rsidP="008F730B">
    <w:pPr>
      <w:pStyle w:val="Cabealho"/>
    </w:pPr>
    <w:r w:rsidRPr="00336D4B">
      <w:t>PREFEITURA MUNICIPAL DE SANTA MARIA</w:t>
    </w:r>
  </w:p>
  <w:p w:rsidR="009D2DFA" w:rsidRPr="00336D4B" w:rsidRDefault="009D2DFA" w:rsidP="008F730B">
    <w:pPr>
      <w:pStyle w:val="Cabealho"/>
    </w:pPr>
    <w:r w:rsidRPr="00336D4B">
      <w:t>Secretaria de Município de Gestão e Modernização Administrativa</w:t>
    </w:r>
  </w:p>
  <w:p w:rsidR="009D2DFA" w:rsidRPr="006D4C6A" w:rsidRDefault="009D2DFA" w:rsidP="008F730B">
    <w:pPr>
      <w:pStyle w:val="Cabealho"/>
    </w:pPr>
    <w:r w:rsidRPr="00336D4B">
      <w:t>Superintendência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pStyle w:val="Ttulo3"/>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8B52CB1"/>
    <w:multiLevelType w:val="hybridMultilevel"/>
    <w:tmpl w:val="E57EC17E"/>
    <w:lvl w:ilvl="0" w:tplc="C3ECDAD6">
      <w:start w:val="2"/>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33"/>
    <w:rsid w:val="000050ED"/>
    <w:rsid w:val="00010040"/>
    <w:rsid w:val="00016E74"/>
    <w:rsid w:val="000440D7"/>
    <w:rsid w:val="00050C2A"/>
    <w:rsid w:val="00073220"/>
    <w:rsid w:val="000732A1"/>
    <w:rsid w:val="000A1B76"/>
    <w:rsid w:val="001420D2"/>
    <w:rsid w:val="00165EDD"/>
    <w:rsid w:val="00181230"/>
    <w:rsid w:val="001B6654"/>
    <w:rsid w:val="001D1DD8"/>
    <w:rsid w:val="001E3A55"/>
    <w:rsid w:val="001E452D"/>
    <w:rsid w:val="00203AE9"/>
    <w:rsid w:val="00220BA2"/>
    <w:rsid w:val="00243001"/>
    <w:rsid w:val="00251332"/>
    <w:rsid w:val="00270AA5"/>
    <w:rsid w:val="0027335C"/>
    <w:rsid w:val="002C7DE9"/>
    <w:rsid w:val="0033164A"/>
    <w:rsid w:val="00336D4B"/>
    <w:rsid w:val="00354780"/>
    <w:rsid w:val="0038326D"/>
    <w:rsid w:val="003A3679"/>
    <w:rsid w:val="003B2632"/>
    <w:rsid w:val="003C6FEE"/>
    <w:rsid w:val="00430FF4"/>
    <w:rsid w:val="00441DCD"/>
    <w:rsid w:val="0044401C"/>
    <w:rsid w:val="0047237F"/>
    <w:rsid w:val="00472D50"/>
    <w:rsid w:val="004918DD"/>
    <w:rsid w:val="004A35AF"/>
    <w:rsid w:val="004A71F9"/>
    <w:rsid w:val="004D7414"/>
    <w:rsid w:val="004F5A2F"/>
    <w:rsid w:val="005021F2"/>
    <w:rsid w:val="0052742B"/>
    <w:rsid w:val="005403F1"/>
    <w:rsid w:val="005555FC"/>
    <w:rsid w:val="005A350D"/>
    <w:rsid w:val="005A72B6"/>
    <w:rsid w:val="005D5909"/>
    <w:rsid w:val="005F6095"/>
    <w:rsid w:val="00611230"/>
    <w:rsid w:val="00616785"/>
    <w:rsid w:val="006354DF"/>
    <w:rsid w:val="00692BA3"/>
    <w:rsid w:val="006A0A6E"/>
    <w:rsid w:val="006A5BEF"/>
    <w:rsid w:val="006F1EDF"/>
    <w:rsid w:val="007373AA"/>
    <w:rsid w:val="00791A89"/>
    <w:rsid w:val="007E7C49"/>
    <w:rsid w:val="007F32A0"/>
    <w:rsid w:val="00814F0A"/>
    <w:rsid w:val="00823EFB"/>
    <w:rsid w:val="008613DA"/>
    <w:rsid w:val="008746E0"/>
    <w:rsid w:val="008F02EF"/>
    <w:rsid w:val="008F730B"/>
    <w:rsid w:val="00915EED"/>
    <w:rsid w:val="00984745"/>
    <w:rsid w:val="009856EC"/>
    <w:rsid w:val="009A51FC"/>
    <w:rsid w:val="009D2DFA"/>
    <w:rsid w:val="009E1144"/>
    <w:rsid w:val="009F41A7"/>
    <w:rsid w:val="00A14091"/>
    <w:rsid w:val="00A17A0A"/>
    <w:rsid w:val="00A34F96"/>
    <w:rsid w:val="00A43211"/>
    <w:rsid w:val="00A77D61"/>
    <w:rsid w:val="00B36430"/>
    <w:rsid w:val="00B40FD4"/>
    <w:rsid w:val="00B747E8"/>
    <w:rsid w:val="00B802C3"/>
    <w:rsid w:val="00B82023"/>
    <w:rsid w:val="00B860E7"/>
    <w:rsid w:val="00BA7B05"/>
    <w:rsid w:val="00BC79C1"/>
    <w:rsid w:val="00BF55F1"/>
    <w:rsid w:val="00C0081F"/>
    <w:rsid w:val="00C241EA"/>
    <w:rsid w:val="00C55B45"/>
    <w:rsid w:val="00CF6F7C"/>
    <w:rsid w:val="00D0028D"/>
    <w:rsid w:val="00D02D8E"/>
    <w:rsid w:val="00D0564E"/>
    <w:rsid w:val="00D366BD"/>
    <w:rsid w:val="00D552B6"/>
    <w:rsid w:val="00DB5D49"/>
    <w:rsid w:val="00E03CF0"/>
    <w:rsid w:val="00E175D6"/>
    <w:rsid w:val="00E215D5"/>
    <w:rsid w:val="00E809B9"/>
    <w:rsid w:val="00EB028E"/>
    <w:rsid w:val="00EC59A2"/>
    <w:rsid w:val="00ED0D05"/>
    <w:rsid w:val="00F01333"/>
    <w:rsid w:val="00F0724B"/>
    <w:rsid w:val="00F12ACD"/>
    <w:rsid w:val="00F7552B"/>
    <w:rsid w:val="00F77F52"/>
    <w:rsid w:val="00F921AF"/>
    <w:rsid w:val="00FA7240"/>
    <w:rsid w:val="00FC3646"/>
    <w:rsid w:val="00FD133E"/>
    <w:rsid w:val="00FF06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27E09-F667-4564-AED1-E330FF33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33"/>
    <w:pPr>
      <w:suppressAutoHyphens/>
      <w:spacing w:after="0" w:line="240" w:lineRule="auto"/>
    </w:pPr>
    <w:rPr>
      <w:rFonts w:ascii="Times New Roman" w:eastAsia="Times New Roman" w:hAnsi="Times New Roman" w:cs="Times New Roman"/>
      <w:sz w:val="24"/>
      <w:szCs w:val="24"/>
      <w:lang w:eastAsia="ar-SA"/>
    </w:rPr>
  </w:style>
  <w:style w:type="paragraph" w:styleId="Ttulo3">
    <w:name w:val="heading 3"/>
    <w:basedOn w:val="Normal"/>
    <w:next w:val="Normal"/>
    <w:link w:val="Ttulo3Char"/>
    <w:qFormat/>
    <w:rsid w:val="00FC3646"/>
    <w:pPr>
      <w:keepNext/>
      <w:numPr>
        <w:ilvl w:val="2"/>
        <w:numId w:val="1"/>
      </w:numPr>
      <w:jc w:val="both"/>
      <w:outlineLvl w:val="2"/>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6D4B"/>
    <w:pPr>
      <w:suppressLineNumbers/>
      <w:tabs>
        <w:tab w:val="center" w:pos="4459"/>
        <w:tab w:val="right" w:pos="8918"/>
      </w:tabs>
    </w:pPr>
    <w:rPr>
      <w:rFonts w:ascii="Arial" w:hAnsi="Arial" w:cs="Arial"/>
      <w:b/>
      <w:color w:val="003663"/>
      <w:sz w:val="22"/>
      <w:szCs w:val="22"/>
    </w:rPr>
  </w:style>
  <w:style w:type="character" w:customStyle="1" w:styleId="CabealhoChar">
    <w:name w:val="Cabeçalho Char"/>
    <w:basedOn w:val="Fontepargpadro"/>
    <w:link w:val="Cabealho"/>
    <w:rsid w:val="00336D4B"/>
    <w:rPr>
      <w:rFonts w:ascii="Arial" w:eastAsia="Times New Roman" w:hAnsi="Arial" w:cs="Arial"/>
      <w:b/>
      <w:color w:val="003663"/>
      <w:lang w:eastAsia="ar-SA"/>
    </w:rPr>
  </w:style>
  <w:style w:type="paragraph" w:styleId="Textodebalo">
    <w:name w:val="Balloon Text"/>
    <w:basedOn w:val="Normal"/>
    <w:link w:val="TextodebaloChar"/>
    <w:uiPriority w:val="99"/>
    <w:semiHidden/>
    <w:unhideWhenUsed/>
    <w:rsid w:val="002C7DE9"/>
    <w:rPr>
      <w:rFonts w:ascii="Segoe UI" w:hAnsi="Segoe UI" w:cs="Segoe UI"/>
      <w:sz w:val="18"/>
      <w:szCs w:val="18"/>
    </w:rPr>
  </w:style>
  <w:style w:type="character" w:customStyle="1" w:styleId="TextodebaloChar">
    <w:name w:val="Texto de balão Char"/>
    <w:basedOn w:val="Fontepargpadro"/>
    <w:link w:val="Textodebalo"/>
    <w:uiPriority w:val="99"/>
    <w:semiHidden/>
    <w:rsid w:val="002C7DE9"/>
    <w:rPr>
      <w:rFonts w:ascii="Segoe UI" w:eastAsia="Times New Roman" w:hAnsi="Segoe UI" w:cs="Segoe UI"/>
      <w:sz w:val="18"/>
      <w:szCs w:val="18"/>
      <w:lang w:eastAsia="ar-SA"/>
    </w:rPr>
  </w:style>
  <w:style w:type="paragraph" w:styleId="Rodap">
    <w:name w:val="footer"/>
    <w:basedOn w:val="Normal"/>
    <w:link w:val="RodapChar"/>
    <w:uiPriority w:val="99"/>
    <w:semiHidden/>
    <w:unhideWhenUsed/>
    <w:rsid w:val="008F730B"/>
    <w:pPr>
      <w:tabs>
        <w:tab w:val="center" w:pos="4252"/>
        <w:tab w:val="right" w:pos="8504"/>
      </w:tabs>
    </w:pPr>
  </w:style>
  <w:style w:type="character" w:customStyle="1" w:styleId="RodapChar">
    <w:name w:val="Rodapé Char"/>
    <w:basedOn w:val="Fontepargpadro"/>
    <w:link w:val="Rodap"/>
    <w:uiPriority w:val="99"/>
    <w:semiHidden/>
    <w:rsid w:val="008F730B"/>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rsid w:val="00FC3646"/>
    <w:rPr>
      <w:rFonts w:ascii="Times New Roman" w:eastAsia="Times New Roman" w:hAnsi="Times New Roman" w:cs="Times New Roman"/>
      <w:b/>
      <w:sz w:val="28"/>
      <w:szCs w:val="20"/>
    </w:rPr>
  </w:style>
  <w:style w:type="paragraph" w:styleId="Corpodetexto">
    <w:name w:val="Body Text"/>
    <w:basedOn w:val="Normal"/>
    <w:link w:val="CorpodetextoChar"/>
    <w:rsid w:val="00FC3646"/>
    <w:pPr>
      <w:jc w:val="both"/>
    </w:pPr>
    <w:rPr>
      <w:rFonts w:ascii="Arial" w:hAnsi="Arial"/>
      <w:szCs w:val="20"/>
    </w:rPr>
  </w:style>
  <w:style w:type="character" w:customStyle="1" w:styleId="CorpodetextoChar">
    <w:name w:val="Corpo de texto Char"/>
    <w:basedOn w:val="Fontepargpadro"/>
    <w:link w:val="Corpodetexto"/>
    <w:rsid w:val="00FC3646"/>
    <w:rPr>
      <w:rFonts w:ascii="Arial" w:eastAsia="Times New Roman" w:hAnsi="Arial" w:cs="Times New Roman"/>
      <w:sz w:val="24"/>
      <w:szCs w:val="20"/>
      <w:lang w:eastAsia="ar-SA"/>
    </w:rPr>
  </w:style>
  <w:style w:type="paragraph" w:styleId="PargrafodaLista">
    <w:name w:val="List Paragraph"/>
    <w:basedOn w:val="Normal"/>
    <w:uiPriority w:val="34"/>
    <w:qFormat/>
    <w:rsid w:val="0007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0CADB-3CB8-4DE5-826E-C56D922D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carem</dc:creator>
  <cp:lastModifiedBy>Diretoria Legislativa 5</cp:lastModifiedBy>
  <cp:revision>2</cp:revision>
  <cp:lastPrinted>2018-04-20T12:20:00Z</cp:lastPrinted>
  <dcterms:created xsi:type="dcterms:W3CDTF">2018-05-07T12:24:00Z</dcterms:created>
  <dcterms:modified xsi:type="dcterms:W3CDTF">2018-05-07T12:24:00Z</dcterms:modified>
</cp:coreProperties>
</file>