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39" w:rsidRDefault="00306209">
      <w:pPr>
        <w:tabs>
          <w:tab w:val="right" w:pos="8505"/>
        </w:tabs>
        <w:spacing w:after="0" w:line="240" w:lineRule="auto"/>
        <w:jc w:val="center"/>
      </w:pPr>
      <w:bookmarkStart w:id="0" w:name="_GoBack"/>
      <w:bookmarkEnd w:id="0"/>
      <w:r>
        <w:rPr>
          <w:rFonts w:cs="Arial"/>
          <w:b/>
          <w:bCs/>
          <w:color w:val="000000"/>
          <w:sz w:val="24"/>
          <w:szCs w:val="24"/>
          <w:highlight w:val="white"/>
        </w:rPr>
        <w:t>DECRETO EXECUTIVO N</w:t>
      </w:r>
      <w:r>
        <w:rPr>
          <w:rFonts w:cs="Arial"/>
          <w:b/>
          <w:bCs/>
          <w:color w:val="000000"/>
          <w:sz w:val="24"/>
          <w:szCs w:val="24"/>
          <w:highlight w:val="white"/>
          <w:u w:val="single"/>
          <w:vertAlign w:val="superscript"/>
        </w:rPr>
        <w:t>o</w:t>
      </w:r>
      <w:r>
        <w:rPr>
          <w:rFonts w:cs="Arial"/>
          <w:b/>
          <w:bCs/>
          <w:color w:val="000000"/>
          <w:sz w:val="24"/>
          <w:szCs w:val="24"/>
          <w:highlight w:val="white"/>
        </w:rPr>
        <w:t xml:space="preserve"> 218, DE 23 DE SETEMBRO DE 2020</w:t>
      </w:r>
    </w:p>
    <w:p w:rsidR="009A5339" w:rsidRDefault="009A5339">
      <w:pPr>
        <w:spacing w:after="0" w:line="240" w:lineRule="auto"/>
        <w:ind w:left="5103"/>
        <w:jc w:val="both"/>
        <w:rPr>
          <w:rStyle w:val="nfase"/>
          <w:sz w:val="24"/>
          <w:szCs w:val="24"/>
        </w:rPr>
      </w:pPr>
    </w:p>
    <w:p w:rsidR="009A5339" w:rsidRDefault="00306209">
      <w:pPr>
        <w:tabs>
          <w:tab w:val="left" w:pos="284"/>
        </w:tabs>
        <w:spacing w:after="0" w:line="240" w:lineRule="auto"/>
        <w:ind w:left="5046"/>
        <w:jc w:val="both"/>
      </w:pPr>
      <w:r>
        <w:rPr>
          <w:rFonts w:cs="Calibri"/>
          <w:sz w:val="24"/>
          <w:szCs w:val="24"/>
        </w:rPr>
        <w:t>Regulamenta os procedimentos necessários à aplicação dos recursos recebidos pelo Município de Santa Maria, para a execução das ações emergenciais destinadas ao setor cultural previstas na Lei Federal nº</w:t>
      </w:r>
      <w:r>
        <w:rPr>
          <w:rFonts w:cs="Calibri"/>
          <w:sz w:val="24"/>
          <w:szCs w:val="24"/>
        </w:rPr>
        <w:t xml:space="preserve"> 14.017, de 29 de junho de 2020, regulamentada pelo Decreto Federal nº 10.464, de 17 de agosto de 2020</w:t>
      </w:r>
      <w:r>
        <w:rPr>
          <w:rStyle w:val="nfase"/>
          <w:rFonts w:cs="Calibri"/>
          <w:bCs/>
          <w:color w:val="000000"/>
          <w:sz w:val="24"/>
          <w:szCs w:val="24"/>
        </w:rPr>
        <w:t>.</w:t>
      </w:r>
    </w:p>
    <w:p w:rsidR="009A5339" w:rsidRDefault="009A5339">
      <w:pPr>
        <w:spacing w:after="0" w:line="240" w:lineRule="auto"/>
        <w:jc w:val="center"/>
        <w:rPr>
          <w:rFonts w:eastAsia="Arial" w:cs="Arial"/>
          <w:b/>
          <w:bCs/>
          <w:color w:val="000000"/>
          <w:sz w:val="24"/>
          <w:szCs w:val="24"/>
          <w:lang w:val="pt-PT"/>
        </w:rPr>
      </w:pPr>
    </w:p>
    <w:p w:rsidR="009A5339" w:rsidRDefault="00306209">
      <w:pPr>
        <w:spacing w:after="0" w:line="240" w:lineRule="auto"/>
        <w:ind w:firstLine="1701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O </w:t>
      </w:r>
      <w:r>
        <w:rPr>
          <w:rFonts w:eastAsia="Arial" w:cs="Arial"/>
          <w:b/>
          <w:color w:val="000000"/>
          <w:sz w:val="24"/>
          <w:szCs w:val="24"/>
        </w:rPr>
        <w:t>PREFEITO MUNICIPAL DE SANTA MARIA</w:t>
      </w:r>
      <w:r>
        <w:rPr>
          <w:rFonts w:eastAsia="Arial" w:cs="Arial"/>
          <w:color w:val="000000"/>
          <w:sz w:val="24"/>
          <w:szCs w:val="24"/>
        </w:rPr>
        <w:t>, no uso das atribuições que lhe são conferidas em Lei,</w:t>
      </w:r>
    </w:p>
    <w:p w:rsidR="009A5339" w:rsidRDefault="009A5339">
      <w:pPr>
        <w:spacing w:after="0" w:line="240" w:lineRule="auto"/>
        <w:ind w:firstLine="1701"/>
        <w:jc w:val="center"/>
        <w:rPr>
          <w:rFonts w:eastAsia="Arial" w:cs="Arial"/>
          <w:color w:val="000000"/>
          <w:sz w:val="24"/>
          <w:szCs w:val="24"/>
        </w:rPr>
      </w:pPr>
    </w:p>
    <w:p w:rsidR="009A5339" w:rsidRDefault="00306209">
      <w:pPr>
        <w:spacing w:after="0" w:line="240" w:lineRule="auto"/>
        <w:jc w:val="center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  <w:u w:val="single"/>
        </w:rPr>
        <w:t>D E C R E T A</w:t>
      </w:r>
      <w:r>
        <w:rPr>
          <w:rFonts w:eastAsia="Arial" w:cs="Arial"/>
          <w:color w:val="000000"/>
          <w:sz w:val="24"/>
          <w:szCs w:val="24"/>
        </w:rPr>
        <w:t>:</w:t>
      </w:r>
    </w:p>
    <w:p w:rsidR="009A5339" w:rsidRDefault="009A5339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A5339" w:rsidRDefault="00306209">
      <w:pPr>
        <w:spacing w:after="0" w:line="240" w:lineRule="auto"/>
        <w:jc w:val="center"/>
        <w:rPr>
          <w:rFonts w:cs="Calibri"/>
          <w:bCs/>
          <w:iCs/>
        </w:rPr>
      </w:pPr>
      <w:r>
        <w:rPr>
          <w:rFonts w:cs="Calibri"/>
          <w:bCs/>
          <w:iCs/>
          <w:sz w:val="24"/>
          <w:szCs w:val="24"/>
        </w:rPr>
        <w:t>CAPÍTULO I</w:t>
      </w:r>
    </w:p>
    <w:p w:rsidR="009A5339" w:rsidRDefault="00306209">
      <w:pPr>
        <w:spacing w:after="0" w:line="240" w:lineRule="auto"/>
        <w:jc w:val="center"/>
        <w:rPr>
          <w:rFonts w:cs="Calibri"/>
          <w:bCs/>
          <w:iCs/>
        </w:rPr>
      </w:pPr>
      <w:r>
        <w:rPr>
          <w:rFonts w:cs="Calibri"/>
          <w:bCs/>
          <w:iCs/>
          <w:sz w:val="24"/>
          <w:szCs w:val="24"/>
        </w:rPr>
        <w:t>DAS DISPOSIÇÕES GERAIS</w:t>
      </w:r>
    </w:p>
    <w:p w:rsidR="009A5339" w:rsidRDefault="009A5339">
      <w:pPr>
        <w:spacing w:after="0" w:line="240" w:lineRule="auto"/>
        <w:ind w:firstLine="709"/>
        <w:jc w:val="center"/>
        <w:rPr>
          <w:rFonts w:cs="Calibri"/>
          <w:b/>
          <w:bCs/>
          <w:iCs/>
          <w:sz w:val="24"/>
          <w:szCs w:val="24"/>
          <w:u w:val="single"/>
        </w:rPr>
      </w:pP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 xml:space="preserve"> </w:t>
      </w:r>
      <w:r>
        <w:rPr>
          <w:rFonts w:cs="Calibri"/>
          <w:iCs/>
          <w:sz w:val="24"/>
          <w:szCs w:val="24"/>
        </w:rPr>
        <w:t xml:space="preserve">Art. 1º Este Decreto Executivo regulamenta os procedimentos necessários à aplicação dos recursos recebidos para a execução das ações emergenciais destinadas ao setor cultural, de competência do Município, conforme incisos II e III do art. 2º da Lei </w:t>
      </w:r>
      <w:bookmarkStart w:id="1" w:name="_Hlk50740036"/>
      <w:r>
        <w:rPr>
          <w:rFonts w:cs="Calibri"/>
          <w:iCs/>
          <w:sz w:val="24"/>
          <w:szCs w:val="24"/>
        </w:rPr>
        <w:t>Federal</w:t>
      </w:r>
      <w:r>
        <w:rPr>
          <w:rFonts w:cs="Calibri"/>
          <w:iCs/>
          <w:sz w:val="24"/>
          <w:szCs w:val="24"/>
        </w:rPr>
        <w:t xml:space="preserve"> nº 14.017, de 29 de junho de 2020</w:t>
      </w:r>
      <w:bookmarkEnd w:id="1"/>
      <w:r>
        <w:rPr>
          <w:rFonts w:cs="Calibri"/>
          <w:iCs/>
          <w:sz w:val="24"/>
          <w:szCs w:val="24"/>
        </w:rPr>
        <w:t xml:space="preserve">, em observância ao disposto no § 4º do art. 2º do </w:t>
      </w:r>
      <w:bookmarkStart w:id="2" w:name="_Hlk50653108"/>
      <w:bookmarkEnd w:id="2"/>
      <w:r>
        <w:rPr>
          <w:rFonts w:cs="Calibri"/>
          <w:iCs/>
          <w:sz w:val="24"/>
          <w:szCs w:val="24"/>
        </w:rPr>
        <w:t>Decreto Federal nº 10.464, de 17 de agosto de 2020.</w:t>
      </w:r>
    </w:p>
    <w:p w:rsidR="009A5339" w:rsidRDefault="009A5339">
      <w:pPr>
        <w:spacing w:after="0" w:line="240" w:lineRule="auto"/>
        <w:ind w:firstLine="1701"/>
        <w:jc w:val="both"/>
        <w:rPr>
          <w:rFonts w:cs="Calibri"/>
          <w:iCs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Art. 2º O recurso destinado a Santa Maria, provenientes da Lei supracitada será de R$ 1.812.388,17, que terá seu repas</w:t>
      </w:r>
      <w:r>
        <w:rPr>
          <w:rFonts w:cs="Calibri"/>
          <w:iCs/>
          <w:sz w:val="24"/>
          <w:szCs w:val="24"/>
        </w:rPr>
        <w:t>se realizado pela Plataforma de Transferências de recursos da União, Mais Brasil, e será gerido pela Prefeitura Municipal de Santa Maria, através da Secretaria de Município da Cultura, Esporte e Lazer.</w:t>
      </w:r>
    </w:p>
    <w:p w:rsidR="009A5339" w:rsidRDefault="009A5339">
      <w:pPr>
        <w:spacing w:after="0" w:line="240" w:lineRule="auto"/>
        <w:ind w:firstLine="1701"/>
        <w:jc w:val="both"/>
        <w:rPr>
          <w:rFonts w:cs="Calibri"/>
          <w:iCs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Art. 3º Toda a aplicação dos recursos da referida Lei</w:t>
      </w:r>
      <w:r>
        <w:rPr>
          <w:rFonts w:cs="Calibri"/>
          <w:iCs/>
          <w:sz w:val="24"/>
          <w:szCs w:val="24"/>
        </w:rPr>
        <w:t xml:space="preserve"> será acompanhada, fiscalizada e assessorada pelo Conselho Municipal de Política Cultural de Santa Maria.</w:t>
      </w:r>
    </w:p>
    <w:p w:rsidR="009A5339" w:rsidRDefault="009A5339">
      <w:pPr>
        <w:spacing w:after="0" w:line="240" w:lineRule="auto"/>
        <w:jc w:val="both"/>
        <w:rPr>
          <w:rFonts w:cs="Calibri"/>
          <w:iCs/>
          <w:sz w:val="24"/>
          <w:szCs w:val="24"/>
        </w:rPr>
      </w:pPr>
    </w:p>
    <w:p w:rsidR="009A5339" w:rsidRDefault="00306209">
      <w:pPr>
        <w:tabs>
          <w:tab w:val="left" w:pos="1701"/>
        </w:tabs>
        <w:spacing w:after="0" w:line="240" w:lineRule="auto"/>
        <w:jc w:val="center"/>
        <w:rPr>
          <w:rFonts w:cs="Calibri"/>
          <w:bCs/>
          <w:iCs/>
        </w:rPr>
      </w:pPr>
      <w:r>
        <w:rPr>
          <w:rFonts w:cs="Calibri"/>
          <w:bCs/>
          <w:iCs/>
          <w:sz w:val="24"/>
          <w:szCs w:val="24"/>
        </w:rPr>
        <w:t>CAPÍTULO II</w:t>
      </w:r>
    </w:p>
    <w:p w:rsidR="009A5339" w:rsidRDefault="00306209">
      <w:pPr>
        <w:spacing w:after="0" w:line="240" w:lineRule="auto"/>
        <w:jc w:val="center"/>
        <w:rPr>
          <w:rFonts w:cs="Calibri"/>
          <w:bCs/>
          <w:iCs/>
        </w:rPr>
      </w:pPr>
      <w:r>
        <w:rPr>
          <w:rFonts w:cs="Calibri"/>
          <w:bCs/>
          <w:iCs/>
          <w:sz w:val="24"/>
          <w:szCs w:val="24"/>
        </w:rPr>
        <w:t>DOS SUBSÍDIOS MENSAIS</w:t>
      </w:r>
    </w:p>
    <w:p w:rsidR="009A5339" w:rsidRDefault="009A5339">
      <w:pPr>
        <w:spacing w:after="0" w:line="240" w:lineRule="auto"/>
        <w:jc w:val="center"/>
        <w:rPr>
          <w:rFonts w:cs="Calibri"/>
          <w:b/>
          <w:bCs/>
          <w:iCs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Art. 4º Será destinado o valor total de R$ 400.000,00 para a aplicação no subsídio mensal de que trata o inciso II</w:t>
      </w:r>
      <w:r>
        <w:rPr>
          <w:rFonts w:cs="Calibri"/>
          <w:iCs/>
          <w:sz w:val="24"/>
          <w:szCs w:val="24"/>
        </w:rPr>
        <w:t xml:space="preserve"> do art. 2º da Lei Federal nº 14.017, de 2020.</w:t>
      </w:r>
    </w:p>
    <w:p w:rsidR="009A5339" w:rsidRDefault="009A5339">
      <w:pPr>
        <w:spacing w:after="0" w:line="240" w:lineRule="auto"/>
        <w:ind w:firstLine="1701"/>
        <w:jc w:val="both"/>
        <w:rPr>
          <w:rFonts w:cs="Calibri"/>
          <w:iCs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 xml:space="preserve">Art. 5º </w:t>
      </w:r>
      <w:bookmarkStart w:id="3" w:name="_Hlk50656661"/>
      <w:r>
        <w:rPr>
          <w:rFonts w:cs="Calibri"/>
          <w:iCs/>
          <w:sz w:val="24"/>
          <w:szCs w:val="24"/>
        </w:rPr>
        <w:t>O subsídio mensal de que trata o inciso II do art. 2º da Lei Federal nº 14.017, de 2020</w:t>
      </w:r>
      <w:bookmarkEnd w:id="3"/>
      <w:r>
        <w:rPr>
          <w:rFonts w:cs="Calibri"/>
          <w:iCs/>
          <w:sz w:val="24"/>
          <w:szCs w:val="24"/>
        </w:rPr>
        <w:t>, será concedido a espaços artísticos e culturais, microempresas e pequenas empresas culturais, cooperativas, ins</w:t>
      </w:r>
      <w:r>
        <w:rPr>
          <w:rFonts w:cs="Calibri"/>
          <w:iCs/>
          <w:sz w:val="24"/>
          <w:szCs w:val="24"/>
        </w:rPr>
        <w:t>tituições e organizações culturais comunitárias que satisfaçam os seguintes requisitos: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lastRenderedPageBreak/>
        <w:t>I - estar cadastrado como espaço cultural no Município de Santa Maria ou em alguma das hipóteses previstas dos incisos I ao VIII do art. 6º do Decreto Federal nº 10.464</w:t>
      </w:r>
      <w:r>
        <w:rPr>
          <w:rFonts w:cs="Calibri"/>
          <w:iCs/>
          <w:sz w:val="24"/>
          <w:szCs w:val="24"/>
        </w:rPr>
        <w:t>, de 2020;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II - apresentar documento que comprove: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 xml:space="preserve">a) a constituição jurídica, no caso de entidade, empresa ou cooperativa, acompanhada de cópia do Cadastro Nacional de Pessoa Jurídica - CNPJ emitido pela Secretaria da Receita Federal; ou 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b) declaração as</w:t>
      </w:r>
      <w:r>
        <w:rPr>
          <w:rFonts w:cs="Calibri"/>
          <w:iCs/>
          <w:sz w:val="24"/>
          <w:szCs w:val="24"/>
        </w:rPr>
        <w:t>sinada pelos membros do coletivo, quando se tratar de grupo cultural que não possui constituição jurídica e/ou inscrição no Cadastro Nacional de Pessoa Jurídica - CNPJ emitido pela Secretaria da Receita Federal, com a identificação pessoal de todos os seus</w:t>
      </w:r>
      <w:r>
        <w:rPr>
          <w:rFonts w:cs="Calibri"/>
          <w:iCs/>
          <w:sz w:val="24"/>
          <w:szCs w:val="24"/>
        </w:rPr>
        <w:t xml:space="preserve"> membros e indicação do responsável pelo espaço cultural.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 xml:space="preserve">III - </w:t>
      </w:r>
      <w:r>
        <w:rPr>
          <w:rFonts w:cs="Calibri"/>
          <w:iCs/>
          <w:sz w:val="24"/>
          <w:szCs w:val="24"/>
          <w:highlight w:val="white"/>
        </w:rPr>
        <w:t>apresentar</w:t>
      </w:r>
      <w:r>
        <w:rPr>
          <w:rFonts w:cs="Calibri"/>
          <w:iCs/>
          <w:sz w:val="24"/>
          <w:szCs w:val="24"/>
        </w:rPr>
        <w:t xml:space="preserve"> portfólio ou documentação que comprove a atuação cultural do espaço do requerente, podendo ser constituída de fotografias, vídeos, declarações, matéria jornalística, publicações em </w:t>
      </w:r>
      <w:r>
        <w:rPr>
          <w:rFonts w:cs="Calibri"/>
          <w:iCs/>
          <w:sz w:val="24"/>
          <w:szCs w:val="24"/>
        </w:rPr>
        <w:t>redes sociais, links de sites, dentre outros, que demonstrem o histórico do espaço e/ou sua função cultural no Município;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 xml:space="preserve">IV - </w:t>
      </w:r>
      <w:r>
        <w:rPr>
          <w:rFonts w:cs="Calibri"/>
          <w:iCs/>
          <w:sz w:val="24"/>
          <w:szCs w:val="24"/>
          <w:highlight w:val="white"/>
        </w:rPr>
        <w:t>apresentar</w:t>
      </w:r>
      <w:r>
        <w:rPr>
          <w:rFonts w:cs="Calibri"/>
          <w:iCs/>
          <w:sz w:val="24"/>
          <w:szCs w:val="24"/>
        </w:rPr>
        <w:t xml:space="preserve"> comprovantes de despesas de manutenção do espaço cultural no período do estado de calamidade pública decorrente da epi</w:t>
      </w:r>
      <w:r>
        <w:rPr>
          <w:rFonts w:cs="Calibri"/>
          <w:iCs/>
          <w:sz w:val="24"/>
          <w:szCs w:val="24"/>
        </w:rPr>
        <w:t>demia de Coronavírus, declarada pelo Decreto Legislativo nº 6, de 2020, do Congresso Nacional, iniciado em 20 de março de 2020 e com previsão até 31 de dezembro de 2020, podendo ser incluídas: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 xml:space="preserve">a) custo de locação, ou de financiamento do espaço artístico e </w:t>
      </w:r>
      <w:r>
        <w:rPr>
          <w:rFonts w:cs="Calibri"/>
          <w:iCs/>
          <w:sz w:val="24"/>
          <w:szCs w:val="24"/>
        </w:rPr>
        <w:t>cultural, se for o caso;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b) despesas relativas ao consumo de energia elétrica, água, internet e telefonia dos últimos 3 (três) meses, contados quando da apresentação do requerimento;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c) número e identificação dos funcionários contratados pelo espaço cultur</w:t>
      </w:r>
      <w:r>
        <w:rPr>
          <w:rFonts w:cs="Calibri"/>
          <w:iCs/>
          <w:sz w:val="24"/>
          <w:szCs w:val="24"/>
        </w:rPr>
        <w:t>al, natureza do vínculo laboral e apresentação da situação de recolhimento dos encargos respectivos, se for o caso;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d) contratação de serviços de profissionais autônomos, se for o caso;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e) transporte;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 xml:space="preserve">f) outras despesas relativas à </w:t>
      </w:r>
      <w:r>
        <w:rPr>
          <w:rFonts w:cs="Calibri"/>
          <w:iCs/>
          <w:sz w:val="24"/>
          <w:szCs w:val="24"/>
        </w:rPr>
        <w:t>manutenção</w:t>
      </w:r>
      <w:r>
        <w:rPr>
          <w:rFonts w:cs="Calibri"/>
          <w:iCs/>
          <w:sz w:val="24"/>
          <w:szCs w:val="24"/>
        </w:rPr>
        <w:t xml:space="preserve"> do espaço cul</w:t>
      </w:r>
      <w:r>
        <w:rPr>
          <w:rFonts w:cs="Calibri"/>
          <w:iCs/>
          <w:sz w:val="24"/>
          <w:szCs w:val="24"/>
        </w:rPr>
        <w:t>tural, desde que devidamente comprovadas.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V - compromisso formal e proposta de contrapartida a ser prestada após o reinício das atividades do espaço artístico e cultural, em bens e/ou serviços economicamente mensuráveis, a ser realizada prioritariamente em</w:t>
      </w:r>
      <w:r>
        <w:rPr>
          <w:rFonts w:cs="Calibri"/>
          <w:iCs/>
          <w:sz w:val="24"/>
          <w:szCs w:val="24"/>
        </w:rPr>
        <w:t xml:space="preserve"> prol dos alunos de escolas públicas ou em espaços públicos da comunidade, de forma gratuita e em intervalos regulares, com indicação da periodicidade pretendida para a sua realização;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 xml:space="preserve">VI - indicar conta bancária para o recebimento do subsídio mensal para </w:t>
      </w:r>
      <w:r>
        <w:rPr>
          <w:rFonts w:cs="Calibri"/>
          <w:iCs/>
          <w:sz w:val="24"/>
          <w:szCs w:val="24"/>
        </w:rPr>
        <w:t>manutenção do espaço cultural;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VII - no caso de pleito de grupo cultural que não possui constituição jurídica e/ou CNPJ, indicação formalmente assinada por todos os membros do coletivo, da pessoa responsável para recebimento do subsídio mensal e respectiva</w:t>
      </w:r>
      <w:r>
        <w:rPr>
          <w:rFonts w:cs="Calibri"/>
          <w:iCs/>
          <w:sz w:val="24"/>
          <w:szCs w:val="24"/>
        </w:rPr>
        <w:t xml:space="preserve"> prestação de contas ao Município;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VIII - demonstração da interrupção das atividades artísticas e culturais do requerente, podendo ser apresentada por autodeclaração;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lastRenderedPageBreak/>
        <w:t>XIX - autodeclaração do requerente de que não está pleiteando o mesmo subsídio em outro M</w:t>
      </w:r>
      <w:r>
        <w:rPr>
          <w:rFonts w:cs="Calibri"/>
          <w:iCs/>
          <w:sz w:val="24"/>
          <w:szCs w:val="24"/>
        </w:rPr>
        <w:t>unicípio, no caso de espaços culturais itinerantes que estejam, no ano de 2020, situados em Santa Maria;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X - Certidão, negativa ou positiva com efeitos de negativa - CND, de Tributos Municipais, expedida pela Secretaria Município de Finanças, dentro de seu</w:t>
      </w:r>
      <w:r>
        <w:rPr>
          <w:rFonts w:cs="Calibri"/>
          <w:iCs/>
          <w:sz w:val="24"/>
          <w:szCs w:val="24"/>
        </w:rPr>
        <w:t xml:space="preserve"> prazo de validade;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 xml:space="preserve">Parágrafo único. Para fins do disposto neste artigo, consideram-se espaços culturais aqueles organizados e mantidos por pessoas, organizações da sociedade civil, empresas culturais, organizações culturais comunitárias, cooperativas com </w:t>
      </w:r>
      <w:r>
        <w:rPr>
          <w:rFonts w:cs="Calibri"/>
          <w:iCs/>
          <w:sz w:val="24"/>
          <w:szCs w:val="24"/>
        </w:rPr>
        <w:t>finalidade cultural e instituições culturais, com ou sem fins lucrativos, que sejam dedicados a realizar atividades artísticas e culturais, tais como aqueles referidos o art. 8º do Decreto Federal nº 10.464, de 2020.</w:t>
      </w:r>
    </w:p>
    <w:p w:rsidR="009A5339" w:rsidRDefault="009A5339">
      <w:pPr>
        <w:spacing w:after="0" w:line="240" w:lineRule="auto"/>
        <w:ind w:firstLine="1701"/>
        <w:jc w:val="both"/>
        <w:rPr>
          <w:rFonts w:cs="Calibri"/>
          <w:iCs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</w:pPr>
      <w:bookmarkStart w:id="4" w:name="_Hlk50734934"/>
      <w:bookmarkEnd w:id="4"/>
      <w:r>
        <w:rPr>
          <w:rFonts w:cs="Calibri"/>
          <w:iCs/>
          <w:sz w:val="24"/>
          <w:szCs w:val="24"/>
        </w:rPr>
        <w:t xml:space="preserve">Art. 6º Serão concedidos à 62 </w:t>
      </w:r>
      <w:r>
        <w:rPr>
          <w:rFonts w:cs="Calibri"/>
          <w:iCs/>
          <w:sz w:val="24"/>
          <w:szCs w:val="24"/>
        </w:rPr>
        <w:t>(sessenta e dois) espaços artísticos e culturais, selecionados através de edital, o subsídio mensal de que trata o inciso II do art. 2º da Lei Federal nº 14.017/2020, distribuídos nas seguintes faixas de valores: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 xml:space="preserve">I - </w:t>
      </w:r>
      <w:bookmarkStart w:id="5" w:name="_Hlk50732575"/>
      <w:r>
        <w:rPr>
          <w:rFonts w:cs="Calibri"/>
          <w:iCs/>
          <w:sz w:val="24"/>
          <w:szCs w:val="24"/>
        </w:rPr>
        <w:t xml:space="preserve">10 (dez) espaços culturais receberão 1 </w:t>
      </w:r>
      <w:r>
        <w:rPr>
          <w:rFonts w:cs="Calibri"/>
          <w:iCs/>
          <w:sz w:val="24"/>
          <w:szCs w:val="24"/>
        </w:rPr>
        <w:t>(uma) parcela de R$</w:t>
      </w:r>
      <w:bookmarkEnd w:id="5"/>
      <w:r>
        <w:rPr>
          <w:rFonts w:cs="Calibri"/>
          <w:iCs/>
          <w:sz w:val="24"/>
          <w:szCs w:val="24"/>
        </w:rPr>
        <w:t xml:space="preserve"> 10.000,00 (dez mil reais);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II - 10 (dez) espaços culturais receberão 01 (uma) parcela de R$ 7.000,00 (sete mil reais);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III - 20 (vinte) espaços culturais receberão 1 (uma) parcela de R$ 6.000,00 (seis mil reais);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 xml:space="preserve">IV - 22 (vinte e dois) </w:t>
      </w:r>
      <w:r>
        <w:rPr>
          <w:rFonts w:cs="Calibri"/>
          <w:iCs/>
          <w:sz w:val="24"/>
          <w:szCs w:val="24"/>
        </w:rPr>
        <w:t>espaços culturais receberão 1 (uma) parcela de R$ 5.000,00 (cinco mil reais).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§ 1º Será assegurada cota para 18 (dezoito) espaços culturais que sejam representativos de coletivos negros, indígenas e LGBTQI+.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 xml:space="preserve">§ 2º </w:t>
      </w:r>
      <w:bookmarkStart w:id="6" w:name="_Hlk50743449"/>
      <w:bookmarkEnd w:id="6"/>
      <w:r>
        <w:rPr>
          <w:rFonts w:cs="Calibri"/>
          <w:iCs/>
          <w:sz w:val="24"/>
          <w:szCs w:val="24"/>
        </w:rPr>
        <w:t xml:space="preserve">Do total da cota estabelecida no parágrafo </w:t>
      </w:r>
      <w:r>
        <w:rPr>
          <w:rFonts w:cs="Calibri"/>
          <w:iCs/>
          <w:sz w:val="24"/>
          <w:szCs w:val="24"/>
        </w:rPr>
        <w:t>anterior, será contemplado, no mínimo, 6 (seis) espaços culturais representativos de coletivos negros, 6 (seis) espaços culturais representativos de coletivos indígenas e 6 (seis) espaços culturais representativos de coletivos LGBTQI+.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 xml:space="preserve">§ 3º </w:t>
      </w:r>
      <w:bookmarkStart w:id="7" w:name="_Hlk50745750"/>
      <w:bookmarkEnd w:id="7"/>
      <w:r>
        <w:rPr>
          <w:rFonts w:cs="Calibri"/>
          <w:iCs/>
          <w:sz w:val="24"/>
          <w:szCs w:val="24"/>
        </w:rPr>
        <w:t xml:space="preserve">No caso de não </w:t>
      </w:r>
      <w:r>
        <w:rPr>
          <w:rFonts w:cs="Calibri"/>
          <w:iCs/>
          <w:sz w:val="24"/>
          <w:szCs w:val="24"/>
        </w:rPr>
        <w:t>preenchimento da cota, ou de preenchimento parcial, os valores remanescentes serão destinados aos demais espaços culturais representativos de outros coletivos.</w:t>
      </w:r>
    </w:p>
    <w:p w:rsidR="009A5339" w:rsidRDefault="009A5339">
      <w:pPr>
        <w:spacing w:after="0" w:line="240" w:lineRule="auto"/>
        <w:ind w:firstLine="1701"/>
        <w:jc w:val="both"/>
        <w:rPr>
          <w:rFonts w:cs="Calibri"/>
          <w:iCs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Art. 7º É vedado o recebimento cumulativo, pelo mesmo beneficiário, de dois ou mais subsídios m</w:t>
      </w:r>
      <w:r>
        <w:rPr>
          <w:rFonts w:cs="Calibri"/>
          <w:iCs/>
          <w:sz w:val="24"/>
          <w:szCs w:val="24"/>
        </w:rPr>
        <w:t>ensais para manutenção, ainda que o requerente possua inscrição em mais de um dos cadastros referidos no art. 6º da Lei Federal nº 14.017, de 2020, ou seja, responsável por mais de um espaço artístico e cultural.</w:t>
      </w:r>
      <w:r>
        <w:rPr>
          <w:rFonts w:cs="Calibri"/>
          <w:iCs/>
          <w:sz w:val="24"/>
          <w:szCs w:val="24"/>
        </w:rPr>
        <w:tab/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ab/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Art. 8º O beneficiário do subsídio mensa</w:t>
      </w:r>
      <w:r>
        <w:rPr>
          <w:rFonts w:cs="Calibri"/>
          <w:iCs/>
          <w:sz w:val="24"/>
          <w:szCs w:val="24"/>
        </w:rPr>
        <w:t xml:space="preserve">l para manutenção do espaço cultural, antes de receber o benefício, celebrará termo de responsabilidade junto à Administração Pública, assumindo o compromisso de prestar contas dos recursos recebidos, com vistas a comprovar que os valores foram utilizados </w:t>
      </w:r>
      <w:r>
        <w:rPr>
          <w:rFonts w:cs="Calibri"/>
          <w:iCs/>
          <w:sz w:val="24"/>
          <w:szCs w:val="24"/>
        </w:rPr>
        <w:t>em gastos relativos à manutenção da atividade cultural.</w:t>
      </w:r>
    </w:p>
    <w:p w:rsidR="009A5339" w:rsidRDefault="009A5339">
      <w:pPr>
        <w:spacing w:after="0" w:line="240" w:lineRule="auto"/>
        <w:ind w:firstLine="1701"/>
        <w:jc w:val="both"/>
        <w:rPr>
          <w:rFonts w:cs="Calibri"/>
          <w:iCs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lastRenderedPageBreak/>
        <w:t>Art. 9º Todas as solicitações para o recebimento do subsídio mensal para manutenção dos espaços culturais serão analisadas por uma Comissão Avaliadora formada para este fim.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§ 1º A Comissão Avaliador</w:t>
      </w:r>
      <w:r>
        <w:rPr>
          <w:rFonts w:cs="Calibri"/>
          <w:iCs/>
          <w:sz w:val="24"/>
          <w:szCs w:val="24"/>
        </w:rPr>
        <w:t>a decidirá, conforme os requisitos estabelecidos no art. 5º, quais os espaços culturais que receberão os subsídios.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§ 2º A Comissão Avaliadora será formada por membros indicados pela Secretaria de Município de Cultura, Esporte e Lazer e indicados pelo Cons</w:t>
      </w:r>
      <w:r>
        <w:rPr>
          <w:rFonts w:cs="Calibri"/>
          <w:iCs/>
          <w:sz w:val="24"/>
          <w:szCs w:val="24"/>
        </w:rPr>
        <w:t xml:space="preserve">elho Municipal de Política Cultural. </w:t>
      </w:r>
    </w:p>
    <w:p w:rsidR="009A5339" w:rsidRDefault="009A5339">
      <w:pPr>
        <w:spacing w:after="0" w:line="240" w:lineRule="auto"/>
        <w:jc w:val="both"/>
        <w:rPr>
          <w:rFonts w:cs="Calibri"/>
          <w:iCs/>
          <w:sz w:val="24"/>
          <w:szCs w:val="24"/>
        </w:rPr>
      </w:pPr>
    </w:p>
    <w:p w:rsidR="009A5339" w:rsidRDefault="00306209">
      <w:pPr>
        <w:spacing w:after="0" w:line="240" w:lineRule="auto"/>
        <w:jc w:val="center"/>
        <w:rPr>
          <w:rFonts w:cs="Calibri"/>
          <w:bCs/>
          <w:iCs/>
        </w:rPr>
      </w:pPr>
      <w:r>
        <w:rPr>
          <w:rFonts w:cs="Calibri"/>
          <w:bCs/>
          <w:iCs/>
          <w:sz w:val="24"/>
          <w:szCs w:val="24"/>
        </w:rPr>
        <w:t>CAPÍTULO III</w:t>
      </w:r>
    </w:p>
    <w:p w:rsidR="009A5339" w:rsidRDefault="00306209">
      <w:pPr>
        <w:spacing w:after="0" w:line="240" w:lineRule="auto"/>
        <w:jc w:val="center"/>
        <w:rPr>
          <w:rFonts w:cs="Calibri"/>
          <w:bCs/>
          <w:iCs/>
        </w:rPr>
      </w:pPr>
      <w:r>
        <w:rPr>
          <w:rFonts w:cs="Calibri"/>
          <w:bCs/>
          <w:iCs/>
          <w:sz w:val="24"/>
          <w:szCs w:val="24"/>
        </w:rPr>
        <w:t>DOS EDITAIS</w:t>
      </w:r>
    </w:p>
    <w:p w:rsidR="009A5339" w:rsidRDefault="009A5339">
      <w:pPr>
        <w:spacing w:after="0" w:line="240" w:lineRule="auto"/>
        <w:jc w:val="center"/>
        <w:rPr>
          <w:rFonts w:cs="Calibri"/>
          <w:b/>
          <w:bCs/>
          <w:iCs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Art. 10. Será aplicado o valor total de R$ 1.412.388,17 para editais de seleção e premiação de trabalhos artísticos e culturais conforme o estabelecido no inciso III do art. 2º da Lei Federal</w:t>
      </w:r>
      <w:r>
        <w:rPr>
          <w:rFonts w:cs="Calibri"/>
          <w:iCs/>
          <w:sz w:val="24"/>
          <w:szCs w:val="24"/>
        </w:rPr>
        <w:t xml:space="preserve"> nº 14.017, de 2020.</w:t>
      </w:r>
    </w:p>
    <w:p w:rsidR="009A5339" w:rsidRDefault="009A5339">
      <w:pPr>
        <w:spacing w:after="0" w:line="240" w:lineRule="auto"/>
        <w:ind w:firstLine="1701"/>
        <w:jc w:val="both"/>
        <w:rPr>
          <w:rFonts w:cs="Calibri"/>
          <w:iCs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Art. 11. O valor referido no art.10. Desse Decreto Executivo será distribuído entre 4 (quatro) editais de seleção e premiação de trabalhos artísticos conforme segue: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I - edital de seleção de projetos culturais vinculados a espaços cul</w:t>
      </w:r>
      <w:r>
        <w:rPr>
          <w:rFonts w:cs="Calibri"/>
          <w:iCs/>
          <w:sz w:val="24"/>
          <w:szCs w:val="24"/>
        </w:rPr>
        <w:t>turais no valor total de R$ 566.388,17;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II - edital de seleção de projetos de produção artística e cultural no valor total de R$ R$ 670.000,00;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III - edital de seleção de apresentações artísticas no Theatro Treze de Maio no valor total de R$ 56.000,00;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 xml:space="preserve">IV </w:t>
      </w:r>
      <w:r>
        <w:rPr>
          <w:rFonts w:cs="Calibri"/>
          <w:iCs/>
          <w:sz w:val="24"/>
          <w:szCs w:val="24"/>
        </w:rPr>
        <w:t>- edital de seleção de Arte Mural no valor total de R$ 120.000,00.</w:t>
      </w:r>
    </w:p>
    <w:p w:rsidR="009A5339" w:rsidRDefault="009A5339">
      <w:pPr>
        <w:spacing w:after="0" w:line="240" w:lineRule="auto"/>
        <w:ind w:firstLine="1701"/>
        <w:jc w:val="both"/>
        <w:rPr>
          <w:rFonts w:cs="Calibri"/>
          <w:iCs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Art. 12. No edital previsto na inciso I do art. 11, serão selecionados 24 (vinte e quatro) projetos no valor de até R$ 23.599,50 que prevejam atividades e/ou ações culturais permanentes du</w:t>
      </w:r>
      <w:r>
        <w:rPr>
          <w:rFonts w:cs="Calibri"/>
          <w:iCs/>
          <w:sz w:val="24"/>
          <w:szCs w:val="24"/>
        </w:rPr>
        <w:t>rante, no mínimo, 4 (quatro) meses nas dependências de seu espaço cultural e/ou em outro ambiente que julgar adequado.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 xml:space="preserve">§ 1º Será assegurada a cota de 7 </w:t>
      </w:r>
      <w:bookmarkStart w:id="8" w:name="_Hlk50743502"/>
      <w:r>
        <w:rPr>
          <w:rFonts w:cs="Calibri"/>
          <w:iCs/>
          <w:sz w:val="24"/>
          <w:szCs w:val="24"/>
        </w:rPr>
        <w:t>(sete) projetos para produtores culturais e/ou artistas negros</w:t>
      </w:r>
      <w:bookmarkEnd w:id="8"/>
      <w:r>
        <w:rPr>
          <w:rFonts w:cs="Calibri"/>
          <w:iCs/>
          <w:sz w:val="24"/>
          <w:szCs w:val="24"/>
        </w:rPr>
        <w:t>, indígenas ou LGBTQI+.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§ 2º Do total da c</w:t>
      </w:r>
      <w:r>
        <w:rPr>
          <w:rFonts w:cs="Calibri"/>
          <w:iCs/>
          <w:sz w:val="24"/>
          <w:szCs w:val="24"/>
        </w:rPr>
        <w:t xml:space="preserve">ota estabelecida no § 1º deste artigo, será contemplado, no mínimo, 2 (dois) projetos para produtores culturais e/ou artistas negros, </w:t>
      </w:r>
      <w:bookmarkStart w:id="9" w:name="_Hlk50743573"/>
      <w:r>
        <w:rPr>
          <w:rFonts w:cs="Calibri"/>
          <w:iCs/>
          <w:sz w:val="24"/>
          <w:szCs w:val="24"/>
        </w:rPr>
        <w:t xml:space="preserve">2 (dois) projetos para produtores culturais e/ou artistas </w:t>
      </w:r>
      <w:bookmarkEnd w:id="9"/>
      <w:r>
        <w:rPr>
          <w:rFonts w:cs="Calibri"/>
          <w:iCs/>
          <w:sz w:val="24"/>
          <w:szCs w:val="24"/>
        </w:rPr>
        <w:t>indígenas e 2 (dois) projetos para produtores culturais e/ou art</w:t>
      </w:r>
      <w:r>
        <w:rPr>
          <w:rFonts w:cs="Calibri"/>
          <w:iCs/>
          <w:sz w:val="24"/>
          <w:szCs w:val="24"/>
        </w:rPr>
        <w:t>istas LGBTQI+.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§ 3º Será assegurada a cota de 7 (sete) projetos para proponentes Pessoa Jurídica sem fins lucrativos.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§ 4º Os proponentes Pessoa Jurídica sem fins lucrativos que forem selecionados no edital previsto no inciso I do art. 11 receberão a certi</w:t>
      </w:r>
      <w:r>
        <w:rPr>
          <w:rFonts w:cs="Calibri"/>
          <w:iCs/>
          <w:sz w:val="24"/>
          <w:szCs w:val="24"/>
        </w:rPr>
        <w:t>ficação de Ponto de Cultura pelo Município de Santa Maria.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§ 5º No caso de não preenchimento da cota, ou de preenchimento parcial, os valores remanescentes serão destinados aos projetos culturais suplentes na classificação geral.</w:t>
      </w:r>
    </w:p>
    <w:p w:rsidR="009A5339" w:rsidRDefault="009A5339">
      <w:pPr>
        <w:spacing w:after="0" w:line="240" w:lineRule="auto"/>
        <w:ind w:firstLine="1701"/>
        <w:jc w:val="both"/>
        <w:rPr>
          <w:rFonts w:cs="Calibri"/>
          <w:iCs/>
          <w:sz w:val="24"/>
          <w:szCs w:val="24"/>
        </w:rPr>
      </w:pPr>
      <w:bookmarkStart w:id="10" w:name="_Hlk50745430"/>
      <w:bookmarkStart w:id="11" w:name="_Hlk50745903"/>
      <w:bookmarkEnd w:id="10"/>
      <w:bookmarkEnd w:id="11"/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lastRenderedPageBreak/>
        <w:t>Art. 13. No edital previs</w:t>
      </w:r>
      <w:r>
        <w:rPr>
          <w:rFonts w:cs="Calibri"/>
          <w:iCs/>
          <w:sz w:val="24"/>
          <w:szCs w:val="24"/>
        </w:rPr>
        <w:t>to no inciso II do art. 11, serão selecionados 54 (cinquenta e quatro) projetos de produção artística e cultural, destinado a diversas áreas e/ou segmentos culturais que envolvam artes visuais, audiovisual, circo, cultura popular, dança, literatura, música</w:t>
      </w:r>
      <w:r>
        <w:rPr>
          <w:rFonts w:cs="Calibri"/>
          <w:iCs/>
          <w:sz w:val="24"/>
          <w:szCs w:val="24"/>
        </w:rPr>
        <w:t xml:space="preserve">, teatro, tradição, folclore, pesquisa, documentação relativa a patrimônio cultural, artes transversais, </w:t>
      </w:r>
      <w:bookmarkStart w:id="12" w:name="_Hlk50812335"/>
      <w:r>
        <w:rPr>
          <w:rFonts w:cs="Calibri"/>
          <w:iCs/>
          <w:sz w:val="24"/>
          <w:szCs w:val="24"/>
        </w:rPr>
        <w:t>artes em plataformas digitais</w:t>
      </w:r>
      <w:bookmarkEnd w:id="12"/>
      <w:r>
        <w:rPr>
          <w:rFonts w:cs="Calibri"/>
          <w:iCs/>
          <w:sz w:val="24"/>
          <w:szCs w:val="24"/>
        </w:rPr>
        <w:t>, distribuídos nas seguintes faixas de valores:</w:t>
      </w:r>
    </w:p>
    <w:p w:rsidR="009A5339" w:rsidRDefault="00306209">
      <w:pPr>
        <w:tabs>
          <w:tab w:val="left" w:pos="1701"/>
        </w:tabs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I - 12 projetos no valor de até R$ 20.000,00;</w:t>
      </w:r>
    </w:p>
    <w:p w:rsidR="009A5339" w:rsidRDefault="00306209">
      <w:pPr>
        <w:tabs>
          <w:tab w:val="left" w:pos="1701"/>
        </w:tabs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II - 12 projetos no valor de</w:t>
      </w:r>
      <w:r>
        <w:rPr>
          <w:rFonts w:cs="Calibri"/>
          <w:iCs/>
          <w:sz w:val="24"/>
          <w:szCs w:val="24"/>
        </w:rPr>
        <w:t xml:space="preserve"> até R$ 15.000,00;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II - 20 projetos no valor de até R$ 10.000,00; e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III - 10 projetos no valor de até R$ 5.000,00.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§ 1º Será assegurada a cota de 16 (dezesseis) projetos para produtores culturais e/ou artistas negros, indígenas ou LGBTQI+.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§ 2º Do total da</w:t>
      </w:r>
      <w:r>
        <w:rPr>
          <w:rFonts w:cs="Calibri"/>
          <w:iCs/>
          <w:sz w:val="24"/>
          <w:szCs w:val="24"/>
        </w:rPr>
        <w:t xml:space="preserve"> cota estabelecida no § 1º deste artigo, será contemplado, no mínimo, 5 (cinco) projetos para produtores culturais e/ou artistas negros, 5 (cinco) projetos para produtores culturais e/ou artistas indígenas e 5 (cinco) projetos para produtores culturais e/o</w:t>
      </w:r>
      <w:r>
        <w:rPr>
          <w:rFonts w:cs="Calibri"/>
          <w:iCs/>
          <w:sz w:val="24"/>
          <w:szCs w:val="24"/>
        </w:rPr>
        <w:t>u artistas LGBTQI+.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§ 3º No caso de não preenchimento da cota, ou de preenchimento parcial, os valores remanescentes serão destinados aos projetos culturais suplentes na classificação geral.</w:t>
      </w:r>
    </w:p>
    <w:p w:rsidR="009A5339" w:rsidRDefault="009A5339">
      <w:pPr>
        <w:spacing w:after="0" w:line="240" w:lineRule="auto"/>
        <w:ind w:firstLine="1701"/>
        <w:jc w:val="both"/>
        <w:rPr>
          <w:rFonts w:cs="Calibri"/>
          <w:iCs/>
          <w:sz w:val="24"/>
          <w:szCs w:val="24"/>
        </w:rPr>
      </w:pPr>
      <w:bookmarkStart w:id="13" w:name="_Hlk50747136"/>
      <w:bookmarkEnd w:id="13"/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 xml:space="preserve">Art. 14. No edital previsto no inciso III do art. 11, serão </w:t>
      </w:r>
      <w:r>
        <w:rPr>
          <w:rFonts w:cs="Calibri"/>
          <w:iCs/>
          <w:sz w:val="24"/>
          <w:szCs w:val="24"/>
        </w:rPr>
        <w:t>selecionadas 16 (dezesseis) propostas de apresentações artísticas, com o prêmio de R$ 3.500,00 cada, para serem realizadas no Theatro Treze de Maio.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§ 1º Será assegurada a cota de 5 (cinco) propostas para produtores culturais e/ou artistas negros, indígena</w:t>
      </w:r>
      <w:r>
        <w:rPr>
          <w:rFonts w:cs="Calibri"/>
          <w:iCs/>
          <w:sz w:val="24"/>
          <w:szCs w:val="24"/>
        </w:rPr>
        <w:t>s ou LGBTQI+.</w:t>
      </w: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 xml:space="preserve">§ 2º Do total da cota estabelecida no § 1º deste artigo, será contemplado, no mínimo, 1 (uma) proposta para produtor cultural e/ou artistas negro, 1 (uma) proposta para produtor cultural e/ou artista indígena e 1 (uma) proposta para produtor </w:t>
      </w:r>
      <w:r>
        <w:rPr>
          <w:rFonts w:cs="Calibri"/>
          <w:iCs/>
          <w:sz w:val="24"/>
          <w:szCs w:val="24"/>
        </w:rPr>
        <w:t>e cultural e/ou artista LGBTQI+.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§ 3º No caso de não preenchimento da cota, ou de preenchimento parcial, os valores remanescentes serão destinados às propostas de apresentação suplentes na classificação geral.</w:t>
      </w:r>
    </w:p>
    <w:p w:rsidR="009A5339" w:rsidRDefault="009A5339">
      <w:pPr>
        <w:spacing w:after="0" w:line="240" w:lineRule="auto"/>
        <w:ind w:firstLine="1701"/>
        <w:jc w:val="both"/>
        <w:rPr>
          <w:rFonts w:cs="Calibri"/>
          <w:iCs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Art. 15. No edital previsto no inciso IV do a</w:t>
      </w:r>
      <w:r>
        <w:rPr>
          <w:rFonts w:cs="Calibri"/>
          <w:iCs/>
          <w:sz w:val="24"/>
          <w:szCs w:val="24"/>
        </w:rPr>
        <w:t>rt. 11, serão trabalhos artísticos destinados a “arte mural” ou “grafite” a serem realizados em espaços determinados no Parque Itaimbé, em Santa Maria.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 xml:space="preserve">Parágrafo único. Para fins deste artigo, os valores de cada prêmio e indicação de seus respectivos </w:t>
      </w:r>
      <w:r>
        <w:rPr>
          <w:rFonts w:cs="Calibri"/>
          <w:iCs/>
          <w:sz w:val="24"/>
          <w:szCs w:val="24"/>
        </w:rPr>
        <w:t>espaços serão definidos no edital.</w:t>
      </w:r>
    </w:p>
    <w:p w:rsidR="009A5339" w:rsidRDefault="009A5339">
      <w:pPr>
        <w:spacing w:after="0" w:line="240" w:lineRule="auto"/>
        <w:ind w:firstLine="1701"/>
        <w:jc w:val="both"/>
        <w:rPr>
          <w:rFonts w:cs="Calibri"/>
          <w:iCs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Art. 16. Os editais referidos no art. 11 deverão conter, no mínimo: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I - o objeto;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II - os prazos;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III - o limite de financiamento;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IV - o valor máximo por projeto;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V - as condições de participação;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lastRenderedPageBreak/>
        <w:t>VI - as formas de habi</w:t>
      </w:r>
      <w:r>
        <w:rPr>
          <w:rFonts w:cs="Calibri"/>
          <w:iCs/>
          <w:sz w:val="24"/>
          <w:szCs w:val="24"/>
        </w:rPr>
        <w:t>litação, de julgamento, de liberação de recursos e de execução;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VII - a forma e o prazo para prestação de contas;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VIII - os formulários de apresentação; e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IX - a relação de documentos exigidos.</w:t>
      </w:r>
    </w:p>
    <w:p w:rsidR="009A5339" w:rsidRDefault="009A5339">
      <w:pPr>
        <w:spacing w:after="0" w:line="240" w:lineRule="auto"/>
        <w:ind w:firstLine="1701"/>
        <w:jc w:val="both"/>
        <w:rPr>
          <w:rFonts w:cs="Calibri"/>
          <w:iCs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Art. 17. Para a seleção dos projetos e propostas inscritos no</w:t>
      </w:r>
      <w:r>
        <w:rPr>
          <w:rFonts w:cs="Calibri"/>
          <w:iCs/>
          <w:sz w:val="24"/>
          <w:szCs w:val="24"/>
        </w:rPr>
        <w:t>s editais mencionados no art. 11, será formada Comissão Julgadora para este fim.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Parágrafo único. A Comissão Julgadora será integrada por membros indicados pela Secretaria de Município de Cultura, Esporte e Lazer e membros indicados pelo Conselho Municipal</w:t>
      </w:r>
      <w:r>
        <w:rPr>
          <w:rFonts w:cs="Calibri"/>
          <w:iCs/>
          <w:sz w:val="24"/>
          <w:szCs w:val="24"/>
        </w:rPr>
        <w:t xml:space="preserve"> de Política Cultural.</w:t>
      </w:r>
    </w:p>
    <w:p w:rsidR="009A5339" w:rsidRDefault="009A5339">
      <w:pPr>
        <w:spacing w:after="0" w:line="240" w:lineRule="auto"/>
        <w:ind w:firstLine="1701"/>
        <w:jc w:val="both"/>
        <w:rPr>
          <w:rFonts w:cs="Calibri"/>
          <w:iCs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Art. 18. O repasse dos recursos para os projetos contemplados nos editais ocorrerá em parcela única e em conta exclusiva do proponente para execução do projeto.</w:t>
      </w:r>
    </w:p>
    <w:p w:rsidR="009A5339" w:rsidRDefault="00306209">
      <w:pPr>
        <w:spacing w:after="0" w:line="240" w:lineRule="auto"/>
        <w:ind w:firstLine="1701"/>
        <w:jc w:val="both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Parágrafo único. O repasse deverá ocorrer antes do início da execução d</w:t>
      </w:r>
      <w:r>
        <w:rPr>
          <w:rFonts w:cs="Calibri"/>
          <w:iCs/>
          <w:sz w:val="24"/>
          <w:szCs w:val="24"/>
        </w:rPr>
        <w:t>o projeto.</w:t>
      </w:r>
    </w:p>
    <w:p w:rsidR="009A5339" w:rsidRDefault="009A5339">
      <w:pPr>
        <w:spacing w:after="0" w:line="240" w:lineRule="auto"/>
        <w:ind w:firstLine="1701"/>
        <w:jc w:val="both"/>
        <w:rPr>
          <w:rFonts w:cs="Calibri"/>
          <w:iCs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Art. 19. Os projetos e propostas selecionados deverão iniciar sua execução após o término do período pandêmico e/ou de estado de calamidade pública, salvo os projetos culturais para artes em plataformaS digitais, previsto no art. 13, que poderã</w:t>
      </w:r>
      <w:r>
        <w:rPr>
          <w:rFonts w:cs="Calibri"/>
          <w:iCs/>
          <w:sz w:val="24"/>
          <w:szCs w:val="24"/>
        </w:rPr>
        <w:t>o ser iniciados, a qualquer tempo, a partir do recebimento do recurso, desde que não envolvam aglomeração de pessoas e/ou riscos à saúde pública.</w:t>
      </w:r>
    </w:p>
    <w:p w:rsidR="009A5339" w:rsidRDefault="009A5339">
      <w:pPr>
        <w:spacing w:after="0" w:line="240" w:lineRule="auto"/>
        <w:ind w:firstLine="1701"/>
        <w:jc w:val="both"/>
        <w:rPr>
          <w:rFonts w:cs="Calibri"/>
          <w:iCs/>
        </w:rPr>
      </w:pP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Art. 20. A prestação de contas para os repasses efetuados deve comprovar o cumprimento do objeto em conformid</w:t>
      </w:r>
      <w:r>
        <w:rPr>
          <w:rFonts w:cs="Calibri"/>
          <w:iCs/>
          <w:sz w:val="24"/>
          <w:szCs w:val="24"/>
        </w:rPr>
        <w:t>ade com o projeto cultural aprovado e o cumprimento das metas e os resultados atingidos.</w:t>
      </w:r>
    </w:p>
    <w:p w:rsidR="009A5339" w:rsidRDefault="009A5339">
      <w:pPr>
        <w:tabs>
          <w:tab w:val="left" w:pos="1701"/>
        </w:tabs>
        <w:spacing w:after="0" w:line="240" w:lineRule="auto"/>
        <w:jc w:val="both"/>
        <w:rPr>
          <w:rFonts w:cs="Calibri"/>
          <w:iCs/>
          <w:sz w:val="24"/>
          <w:szCs w:val="24"/>
        </w:rPr>
      </w:pPr>
    </w:p>
    <w:p w:rsidR="009A5339" w:rsidRDefault="00306209">
      <w:pPr>
        <w:spacing w:after="0" w:line="240" w:lineRule="auto"/>
        <w:jc w:val="center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CAPÍTULO IV</w:t>
      </w:r>
    </w:p>
    <w:p w:rsidR="009A5339" w:rsidRDefault="00306209">
      <w:pPr>
        <w:spacing w:after="0" w:line="240" w:lineRule="auto"/>
        <w:jc w:val="center"/>
        <w:rPr>
          <w:rFonts w:cs="Calibri"/>
          <w:iCs/>
        </w:rPr>
      </w:pPr>
      <w:r>
        <w:rPr>
          <w:rFonts w:cs="Calibri"/>
          <w:iCs/>
          <w:sz w:val="24"/>
          <w:szCs w:val="24"/>
        </w:rPr>
        <w:t>DAS DISPOSIÇÕES FINAIS</w:t>
      </w:r>
    </w:p>
    <w:p w:rsidR="009A5339" w:rsidRDefault="009A5339">
      <w:pPr>
        <w:spacing w:after="0" w:line="240" w:lineRule="auto"/>
        <w:jc w:val="center"/>
        <w:rPr>
          <w:rFonts w:cs="Calibri"/>
          <w:iCs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Art. 21. Havendo saldo remanescente no subsídio mensal previsto no art. 6º, estes serão aplicados no edital previsto no inciso I</w:t>
      </w:r>
      <w:r>
        <w:rPr>
          <w:rFonts w:cs="Calibri"/>
          <w:iCs/>
          <w:sz w:val="24"/>
          <w:szCs w:val="24"/>
        </w:rPr>
        <w:t xml:space="preserve"> do art. 11.</w:t>
      </w:r>
    </w:p>
    <w:p w:rsidR="009A5339" w:rsidRDefault="009A5339">
      <w:pPr>
        <w:spacing w:after="0" w:line="240" w:lineRule="auto"/>
        <w:ind w:firstLine="1701"/>
        <w:jc w:val="both"/>
        <w:rPr>
          <w:rFonts w:cs="Calibri"/>
          <w:iCs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</w:pPr>
      <w:r>
        <w:rPr>
          <w:rFonts w:cs="Calibri"/>
          <w:iCs/>
          <w:sz w:val="24"/>
          <w:szCs w:val="24"/>
        </w:rPr>
        <w:t>Art. 22. Havendo saldo remanescente nos editais previstos nos incisos I, III e IV do art. 11, estes serão aplicados no edital previsto no inciso II do art. 11 deste Decreto Executivo.</w:t>
      </w:r>
    </w:p>
    <w:p w:rsidR="009A5339" w:rsidRDefault="009A5339">
      <w:pPr>
        <w:spacing w:after="0" w:line="240" w:lineRule="auto"/>
        <w:ind w:firstLine="1701"/>
        <w:jc w:val="both"/>
        <w:rPr>
          <w:rFonts w:cs="Calibri"/>
          <w:iCs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</w:pPr>
      <w:r>
        <w:rPr>
          <w:rFonts w:eastAsia="Arial" w:cs="Arial"/>
          <w:sz w:val="24"/>
          <w:szCs w:val="24"/>
        </w:rPr>
        <w:t>Art. 23. Este Decreto Executivo entra em vigor na data de</w:t>
      </w:r>
      <w:r>
        <w:rPr>
          <w:rFonts w:eastAsia="Arial" w:cs="Arial"/>
          <w:sz w:val="24"/>
          <w:szCs w:val="24"/>
        </w:rPr>
        <w:t xml:space="preserve"> sua publicação.</w:t>
      </w:r>
    </w:p>
    <w:p w:rsidR="009A5339" w:rsidRDefault="009A5339">
      <w:pPr>
        <w:spacing w:after="0" w:line="240" w:lineRule="auto"/>
        <w:ind w:firstLine="1701"/>
        <w:jc w:val="both"/>
        <w:rPr>
          <w:rFonts w:eastAsia="Arial" w:cs="Arial"/>
          <w:sz w:val="24"/>
          <w:szCs w:val="24"/>
        </w:rPr>
      </w:pPr>
    </w:p>
    <w:p w:rsidR="009A5339" w:rsidRDefault="00306209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Casa Civil</w:t>
      </w:r>
      <w:r>
        <w:rPr>
          <w:rFonts w:eastAsia="Arial" w:cs="Arial"/>
          <w:sz w:val="24"/>
          <w:szCs w:val="24"/>
        </w:rPr>
        <w:t>, em Santa Maria, aos 23 do mês de setembro do ano de 2020.</w:t>
      </w:r>
    </w:p>
    <w:p w:rsidR="009A5339" w:rsidRDefault="009A5339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:rsidR="009A5339" w:rsidRDefault="00306209">
      <w:pPr>
        <w:spacing w:after="0" w:line="240" w:lineRule="auto"/>
        <w:jc w:val="center"/>
      </w:pPr>
      <w:r>
        <w:rPr>
          <w:rFonts w:eastAsia="Arial" w:cs="Arial"/>
          <w:b/>
          <w:sz w:val="24"/>
          <w:szCs w:val="24"/>
        </w:rPr>
        <w:t>Jorge Cladistone Pozzobom</w:t>
      </w:r>
    </w:p>
    <w:p w:rsidR="009A5339" w:rsidRDefault="00306209">
      <w:pPr>
        <w:spacing w:after="0" w:line="240" w:lineRule="auto"/>
        <w:jc w:val="center"/>
        <w:rPr>
          <w:rFonts w:eastAsia="Arial" w:cs="Arial"/>
        </w:rPr>
      </w:pPr>
      <w:r>
        <w:rPr>
          <w:rFonts w:eastAsia="Arial" w:cs="Arial"/>
          <w:sz w:val="24"/>
          <w:szCs w:val="24"/>
        </w:rPr>
        <w:t>Prefeito Municipal</w:t>
      </w:r>
    </w:p>
    <w:p w:rsidR="009A5339" w:rsidRDefault="009A5339">
      <w:pPr>
        <w:spacing w:after="0" w:line="240" w:lineRule="auto"/>
        <w:jc w:val="center"/>
      </w:pPr>
    </w:p>
    <w:sectPr w:rsidR="009A5339">
      <w:headerReference w:type="default" r:id="rId7"/>
      <w:footerReference w:type="default" r:id="rId8"/>
      <w:pgSz w:w="11906" w:h="16838"/>
      <w:pgMar w:top="1701" w:right="1134" w:bottom="1134" w:left="1701" w:header="851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09" w:rsidRDefault="00306209">
      <w:pPr>
        <w:spacing w:after="0" w:line="240" w:lineRule="auto"/>
      </w:pPr>
      <w:r>
        <w:separator/>
      </w:r>
    </w:p>
  </w:endnote>
  <w:endnote w:type="continuationSeparator" w:id="0">
    <w:p w:rsidR="00306209" w:rsidRDefault="0030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39" w:rsidRDefault="00306209">
    <w:pPr>
      <w:pStyle w:val="Rodap1"/>
      <w:rPr>
        <w:color w:val="000000"/>
      </w:rPr>
    </w:pPr>
    <w:r>
      <w:rPr>
        <w:rFonts w:ascii="Arial" w:hAnsi="Arial" w:cs="Arial"/>
        <w:b/>
        <w:color w:val="000000"/>
        <w:sz w:val="18"/>
        <w:szCs w:val="18"/>
      </w:rPr>
      <w:t>Rua Venâncio Aires, nº 2277 · 3º Andar · Centro · Santa Maria/RS</w:t>
    </w:r>
  </w:p>
  <w:p w:rsidR="009A5339" w:rsidRDefault="00306209">
    <w:pPr>
      <w:pStyle w:val="Rodap1"/>
      <w:rPr>
        <w:color w:val="000000"/>
      </w:rPr>
    </w:pPr>
    <w:r>
      <w:rPr>
        <w:rFonts w:ascii="Arial" w:hAnsi="Arial" w:cs="Arial"/>
        <w:b/>
        <w:color w:val="000000"/>
        <w:sz w:val="18"/>
        <w:szCs w:val="18"/>
      </w:rPr>
      <w:t>CEP: 97010-005 · Tel.: (55) 3921.7013 · E-mail: smg@santamaria.rs.gov.br</w:t>
    </w:r>
  </w:p>
  <w:p w:rsidR="009A5339" w:rsidRDefault="00306209">
    <w:pPr>
      <w:pStyle w:val="Rodap1"/>
      <w:rPr>
        <w:color w:val="000000"/>
      </w:rPr>
    </w:pPr>
    <w:r>
      <w:rPr>
        <w:rFonts w:ascii="Arial" w:hAnsi="Arial" w:cs="Arial"/>
        <w:b/>
        <w:color w:val="000000"/>
        <w:sz w:val="18"/>
        <w:szCs w:val="18"/>
      </w:rPr>
      <w:t>www.santamaria.rs.gov.br</w:t>
    </w:r>
  </w:p>
  <w:p w:rsidR="009A5339" w:rsidRDefault="009A5339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09" w:rsidRDefault="00306209">
      <w:pPr>
        <w:spacing w:after="0" w:line="240" w:lineRule="auto"/>
      </w:pPr>
      <w:r>
        <w:separator/>
      </w:r>
    </w:p>
  </w:footnote>
  <w:footnote w:type="continuationSeparator" w:id="0">
    <w:p w:rsidR="00306209" w:rsidRDefault="0030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39" w:rsidRDefault="00306209">
    <w:pPr>
      <w:pStyle w:val="Cabealho1"/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4436110</wp:posOffset>
          </wp:positionH>
          <wp:positionV relativeFrom="paragraph">
            <wp:posOffset>-125730</wp:posOffset>
          </wp:positionV>
          <wp:extent cx="1843405" cy="66802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39" r="-13" b="-39"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  <w:sz w:val="22"/>
        <w:szCs w:val="22"/>
      </w:rPr>
      <w:t>ESTADO DO RIO GRANDE DO SUL</w:t>
    </w:r>
  </w:p>
  <w:p w:rsidR="009A5339" w:rsidRDefault="00306209">
    <w:pPr>
      <w:pStyle w:val="Cabealho1"/>
      <w:rPr>
        <w:color w:val="000000"/>
      </w:rPr>
    </w:pPr>
    <w:r>
      <w:rPr>
        <w:rFonts w:ascii="Arial" w:hAnsi="Arial" w:cs="Arial"/>
        <w:b/>
        <w:color w:val="000000"/>
        <w:sz w:val="22"/>
        <w:szCs w:val="22"/>
      </w:rPr>
      <w:t xml:space="preserve">PREFEITURA MUNICIPAL </w:t>
    </w:r>
    <w:r>
      <w:rPr>
        <w:rFonts w:ascii="Arial" w:hAnsi="Arial" w:cs="Arial"/>
        <w:b/>
        <w:color w:val="000000"/>
        <w:sz w:val="22"/>
        <w:szCs w:val="22"/>
      </w:rPr>
      <w:t>DE SANTA MARIA</w:t>
    </w:r>
  </w:p>
  <w:p w:rsidR="009A5339" w:rsidRDefault="00306209">
    <w:pPr>
      <w:pStyle w:val="Cabealho1"/>
      <w:rPr>
        <w:color w:val="000000"/>
      </w:rPr>
    </w:pPr>
    <w:r>
      <w:rPr>
        <w:rFonts w:ascii="Arial" w:hAnsi="Arial" w:cs="Arial"/>
        <w:b/>
        <w:color w:val="000000"/>
        <w:sz w:val="22"/>
        <w:szCs w:val="22"/>
      </w:rPr>
      <w:t>Secretaria de Município de Gestão e Modernização Administrativa</w:t>
    </w:r>
  </w:p>
  <w:p w:rsidR="009A5339" w:rsidRDefault="00306209">
    <w:pPr>
      <w:pStyle w:val="Cabealho1"/>
      <w:rPr>
        <w:color w:val="000000"/>
      </w:rPr>
    </w:pPr>
    <w:r>
      <w:rPr>
        <w:rFonts w:ascii="Arial" w:hAnsi="Arial" w:cs="Arial"/>
        <w:b/>
        <w:color w:val="000000"/>
        <w:sz w:val="22"/>
        <w:szCs w:val="22"/>
      </w:rPr>
      <w:t>Superintendência de Administração</w:t>
    </w:r>
  </w:p>
  <w:p w:rsidR="009A5339" w:rsidRDefault="00306209">
    <w:pPr>
      <w:pStyle w:val="Cabealho1"/>
      <w:tabs>
        <w:tab w:val="left" w:pos="3819"/>
      </w:tabs>
      <w:rPr>
        <w:sz w:val="22"/>
        <w:szCs w:val="22"/>
      </w:rPr>
    </w:pPr>
    <w:r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39"/>
    <w:rsid w:val="00306209"/>
    <w:rsid w:val="006C1FF6"/>
    <w:rsid w:val="009A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9FE37-18BB-4C3B-8303-DF398EEB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0B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link w:val="Ttulo2Char"/>
    <w:uiPriority w:val="9"/>
    <w:qFormat/>
    <w:rsid w:val="00895564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customStyle="1" w:styleId="CabealhoChar">
    <w:name w:val="Cabeçalho Char"/>
    <w:link w:val="Cabealho1"/>
    <w:uiPriority w:val="99"/>
    <w:qFormat/>
    <w:locked/>
    <w:rsid w:val="00934B6D"/>
    <w:rPr>
      <w:rFonts w:cs="Times New Roman"/>
    </w:rPr>
  </w:style>
  <w:style w:type="character" w:customStyle="1" w:styleId="RodapChar">
    <w:name w:val="Rodapé Char"/>
    <w:link w:val="Rodap1"/>
    <w:uiPriority w:val="99"/>
    <w:qFormat/>
    <w:locked/>
    <w:rsid w:val="00934B6D"/>
    <w:rPr>
      <w:rFonts w:cs="Times New Roman"/>
    </w:rPr>
  </w:style>
  <w:style w:type="character" w:customStyle="1" w:styleId="Ttulo3Char">
    <w:name w:val="Título 3 Char"/>
    <w:link w:val="Ttulo31"/>
    <w:qFormat/>
    <w:rsid w:val="005F7AFD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1"/>
    <w:semiHidden/>
    <w:qFormat/>
    <w:rsid w:val="0046172E"/>
    <w:rPr>
      <w:b/>
      <w:bCs/>
      <w:i/>
      <w:iCs/>
      <w:sz w:val="26"/>
      <w:szCs w:val="26"/>
      <w:lang w:eastAsia="ar-SA"/>
    </w:rPr>
  </w:style>
  <w:style w:type="character" w:customStyle="1" w:styleId="apple-converted-space">
    <w:name w:val="apple-converted-space"/>
    <w:uiPriority w:val="99"/>
    <w:qFormat/>
    <w:rsid w:val="0046172E"/>
    <w:rPr>
      <w:rFonts w:cs="Times New Roman"/>
    </w:rPr>
  </w:style>
  <w:style w:type="character" w:styleId="Refdecomentrio">
    <w:name w:val="annotation reference"/>
    <w:uiPriority w:val="99"/>
    <w:semiHidden/>
    <w:unhideWhenUsed/>
    <w:qFormat/>
    <w:rsid w:val="0039657B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39657B"/>
    <w:rPr>
      <w:rFonts w:ascii="Calibri" w:eastAsia="Calibri" w:hAnsi="Calibri" w:cs="Times New Roman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39657B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qFormat/>
    <w:rsid w:val="0090730A"/>
    <w:rPr>
      <w:i/>
      <w:iCs/>
    </w:rPr>
  </w:style>
  <w:style w:type="character" w:customStyle="1" w:styleId="ListLabel1">
    <w:name w:val="ListLabel 1"/>
    <w:qFormat/>
    <w:rsid w:val="007D3B5C"/>
    <w:rPr>
      <w:rFonts w:cs="Times New Roman"/>
    </w:rPr>
  </w:style>
  <w:style w:type="character" w:customStyle="1" w:styleId="ListLabel2">
    <w:name w:val="ListLabel 2"/>
    <w:qFormat/>
    <w:rsid w:val="007D3B5C"/>
    <w:rPr>
      <w:rFonts w:cs="Times New Roman"/>
    </w:rPr>
  </w:style>
  <w:style w:type="character" w:customStyle="1" w:styleId="ListLabel3">
    <w:name w:val="ListLabel 3"/>
    <w:qFormat/>
    <w:rsid w:val="007D3B5C"/>
    <w:rPr>
      <w:rFonts w:cs="Times New Roman"/>
    </w:rPr>
  </w:style>
  <w:style w:type="character" w:customStyle="1" w:styleId="ListLabel4">
    <w:name w:val="ListLabel 4"/>
    <w:qFormat/>
    <w:rsid w:val="007D3B5C"/>
    <w:rPr>
      <w:rFonts w:cs="Times New Roman"/>
    </w:rPr>
  </w:style>
  <w:style w:type="character" w:customStyle="1" w:styleId="ListLabel5">
    <w:name w:val="ListLabel 5"/>
    <w:qFormat/>
    <w:rsid w:val="007D3B5C"/>
    <w:rPr>
      <w:rFonts w:cs="Times New Roman"/>
    </w:rPr>
  </w:style>
  <w:style w:type="character" w:customStyle="1" w:styleId="ListLabel6">
    <w:name w:val="ListLabel 6"/>
    <w:qFormat/>
    <w:rsid w:val="007D3B5C"/>
    <w:rPr>
      <w:b/>
    </w:rPr>
  </w:style>
  <w:style w:type="character" w:customStyle="1" w:styleId="ListLabel7">
    <w:name w:val="ListLabel 7"/>
    <w:qFormat/>
    <w:rsid w:val="007D3B5C"/>
    <w:rPr>
      <w:b/>
    </w:rPr>
  </w:style>
  <w:style w:type="character" w:customStyle="1" w:styleId="ListLabel8">
    <w:name w:val="ListLabel 8"/>
    <w:qFormat/>
    <w:rsid w:val="007D3B5C"/>
    <w:rPr>
      <w:rFonts w:cs="Courier New"/>
    </w:rPr>
  </w:style>
  <w:style w:type="character" w:customStyle="1" w:styleId="ListLabel9">
    <w:name w:val="ListLabel 9"/>
    <w:qFormat/>
    <w:rsid w:val="007D3B5C"/>
    <w:rPr>
      <w:rFonts w:cs="Courier New"/>
    </w:rPr>
  </w:style>
  <w:style w:type="character" w:customStyle="1" w:styleId="ListLabel10">
    <w:name w:val="ListLabel 10"/>
    <w:qFormat/>
    <w:rsid w:val="007D3B5C"/>
    <w:rPr>
      <w:rFonts w:cs="Courier New"/>
    </w:rPr>
  </w:style>
  <w:style w:type="character" w:customStyle="1" w:styleId="ListLabel11">
    <w:name w:val="ListLabel 11"/>
    <w:qFormat/>
    <w:rsid w:val="007D3B5C"/>
    <w:rPr>
      <w:rFonts w:cs="Courier New"/>
    </w:rPr>
  </w:style>
  <w:style w:type="character" w:customStyle="1" w:styleId="ListLabel12">
    <w:name w:val="ListLabel 12"/>
    <w:qFormat/>
    <w:rsid w:val="007D3B5C"/>
    <w:rPr>
      <w:rFonts w:cs="Courier New"/>
    </w:rPr>
  </w:style>
  <w:style w:type="character" w:customStyle="1" w:styleId="ListLabel13">
    <w:name w:val="ListLabel 13"/>
    <w:qFormat/>
    <w:rsid w:val="007D3B5C"/>
    <w:rPr>
      <w:rFonts w:cs="Courier New"/>
    </w:rPr>
  </w:style>
  <w:style w:type="character" w:customStyle="1" w:styleId="ListLabel14">
    <w:name w:val="ListLabel 14"/>
    <w:qFormat/>
    <w:rsid w:val="007D3B5C"/>
    <w:rPr>
      <w:rFonts w:ascii="Calibri" w:hAnsi="Calibri" w:cs="Symbol"/>
      <w:sz w:val="24"/>
    </w:rPr>
  </w:style>
  <w:style w:type="character" w:customStyle="1" w:styleId="ListLabel15">
    <w:name w:val="ListLabel 15"/>
    <w:qFormat/>
    <w:rsid w:val="007D3B5C"/>
    <w:rPr>
      <w:rFonts w:cs="Courier New"/>
    </w:rPr>
  </w:style>
  <w:style w:type="character" w:customStyle="1" w:styleId="ListLabel16">
    <w:name w:val="ListLabel 16"/>
    <w:qFormat/>
    <w:rsid w:val="007D3B5C"/>
    <w:rPr>
      <w:rFonts w:cs="Wingdings"/>
    </w:rPr>
  </w:style>
  <w:style w:type="character" w:customStyle="1" w:styleId="ListLabel17">
    <w:name w:val="ListLabel 17"/>
    <w:qFormat/>
    <w:rsid w:val="007D3B5C"/>
    <w:rPr>
      <w:rFonts w:cs="Symbol"/>
    </w:rPr>
  </w:style>
  <w:style w:type="character" w:customStyle="1" w:styleId="ListLabel18">
    <w:name w:val="ListLabel 18"/>
    <w:qFormat/>
    <w:rsid w:val="007D3B5C"/>
    <w:rPr>
      <w:rFonts w:cs="Courier New"/>
    </w:rPr>
  </w:style>
  <w:style w:type="character" w:customStyle="1" w:styleId="ListLabel19">
    <w:name w:val="ListLabel 19"/>
    <w:qFormat/>
    <w:rsid w:val="007D3B5C"/>
    <w:rPr>
      <w:rFonts w:cs="Wingdings"/>
    </w:rPr>
  </w:style>
  <w:style w:type="character" w:customStyle="1" w:styleId="ListLabel20">
    <w:name w:val="ListLabel 20"/>
    <w:qFormat/>
    <w:rsid w:val="007D3B5C"/>
    <w:rPr>
      <w:rFonts w:cs="Symbol"/>
    </w:rPr>
  </w:style>
  <w:style w:type="character" w:customStyle="1" w:styleId="ListLabel21">
    <w:name w:val="ListLabel 21"/>
    <w:qFormat/>
    <w:rsid w:val="007D3B5C"/>
    <w:rPr>
      <w:rFonts w:cs="Courier New"/>
    </w:rPr>
  </w:style>
  <w:style w:type="character" w:customStyle="1" w:styleId="ListLabel22">
    <w:name w:val="ListLabel 22"/>
    <w:qFormat/>
    <w:rsid w:val="007D3B5C"/>
    <w:rPr>
      <w:rFonts w:cs="Wingdings"/>
    </w:rPr>
  </w:style>
  <w:style w:type="character" w:customStyle="1" w:styleId="ListLabel23">
    <w:name w:val="ListLabel 23"/>
    <w:qFormat/>
    <w:rsid w:val="007D3B5C"/>
    <w:rPr>
      <w:rFonts w:ascii="Calibri" w:hAnsi="Calibri" w:cs="Symbol"/>
      <w:sz w:val="24"/>
    </w:rPr>
  </w:style>
  <w:style w:type="character" w:customStyle="1" w:styleId="ListLabel24">
    <w:name w:val="ListLabel 24"/>
    <w:qFormat/>
    <w:rsid w:val="007D3B5C"/>
    <w:rPr>
      <w:rFonts w:cs="Courier New"/>
    </w:rPr>
  </w:style>
  <w:style w:type="character" w:customStyle="1" w:styleId="ListLabel25">
    <w:name w:val="ListLabel 25"/>
    <w:qFormat/>
    <w:rsid w:val="007D3B5C"/>
    <w:rPr>
      <w:rFonts w:cs="Wingdings"/>
    </w:rPr>
  </w:style>
  <w:style w:type="character" w:customStyle="1" w:styleId="ListLabel26">
    <w:name w:val="ListLabel 26"/>
    <w:qFormat/>
    <w:rsid w:val="007D3B5C"/>
    <w:rPr>
      <w:rFonts w:cs="Symbol"/>
    </w:rPr>
  </w:style>
  <w:style w:type="character" w:customStyle="1" w:styleId="ListLabel27">
    <w:name w:val="ListLabel 27"/>
    <w:qFormat/>
    <w:rsid w:val="007D3B5C"/>
    <w:rPr>
      <w:rFonts w:cs="Courier New"/>
    </w:rPr>
  </w:style>
  <w:style w:type="character" w:customStyle="1" w:styleId="ListLabel28">
    <w:name w:val="ListLabel 28"/>
    <w:qFormat/>
    <w:rsid w:val="007D3B5C"/>
    <w:rPr>
      <w:rFonts w:cs="Wingdings"/>
    </w:rPr>
  </w:style>
  <w:style w:type="character" w:customStyle="1" w:styleId="ListLabel29">
    <w:name w:val="ListLabel 29"/>
    <w:qFormat/>
    <w:rsid w:val="007D3B5C"/>
    <w:rPr>
      <w:rFonts w:cs="Symbol"/>
    </w:rPr>
  </w:style>
  <w:style w:type="character" w:customStyle="1" w:styleId="ListLabel30">
    <w:name w:val="ListLabel 30"/>
    <w:qFormat/>
    <w:rsid w:val="007D3B5C"/>
    <w:rPr>
      <w:rFonts w:cs="Courier New"/>
    </w:rPr>
  </w:style>
  <w:style w:type="character" w:customStyle="1" w:styleId="ListLabel31">
    <w:name w:val="ListLabel 31"/>
    <w:qFormat/>
    <w:rsid w:val="007D3B5C"/>
    <w:rPr>
      <w:rFonts w:cs="Wingdings"/>
    </w:rPr>
  </w:style>
  <w:style w:type="character" w:customStyle="1" w:styleId="Ttulo2Char">
    <w:name w:val="Título 2 Char"/>
    <w:basedOn w:val="Fontepargpadro"/>
    <w:link w:val="Ttulo21"/>
    <w:uiPriority w:val="9"/>
    <w:qFormat/>
    <w:rsid w:val="00895564"/>
    <w:rPr>
      <w:rFonts w:ascii="Times New Roman" w:hAnsi="Times New Roman"/>
      <w:b/>
      <w:bCs/>
      <w:sz w:val="36"/>
      <w:szCs w:val="36"/>
    </w:rPr>
  </w:style>
  <w:style w:type="character" w:customStyle="1" w:styleId="ListLabel32">
    <w:name w:val="ListLabel 32"/>
    <w:qFormat/>
    <w:rsid w:val="0008787F"/>
    <w:rPr>
      <w:rFonts w:cs="Symbol"/>
      <w:sz w:val="24"/>
    </w:rPr>
  </w:style>
  <w:style w:type="character" w:customStyle="1" w:styleId="ListLabel33">
    <w:name w:val="ListLabel 33"/>
    <w:qFormat/>
    <w:rsid w:val="0008787F"/>
    <w:rPr>
      <w:rFonts w:cs="Courier New"/>
    </w:rPr>
  </w:style>
  <w:style w:type="character" w:customStyle="1" w:styleId="ListLabel34">
    <w:name w:val="ListLabel 34"/>
    <w:qFormat/>
    <w:rsid w:val="0008787F"/>
    <w:rPr>
      <w:rFonts w:cs="Wingdings"/>
    </w:rPr>
  </w:style>
  <w:style w:type="character" w:customStyle="1" w:styleId="ListLabel35">
    <w:name w:val="ListLabel 35"/>
    <w:qFormat/>
    <w:rsid w:val="0008787F"/>
    <w:rPr>
      <w:rFonts w:cs="Symbol"/>
    </w:rPr>
  </w:style>
  <w:style w:type="character" w:customStyle="1" w:styleId="ListLabel36">
    <w:name w:val="ListLabel 36"/>
    <w:qFormat/>
    <w:rsid w:val="0008787F"/>
    <w:rPr>
      <w:rFonts w:cs="Courier New"/>
    </w:rPr>
  </w:style>
  <w:style w:type="character" w:customStyle="1" w:styleId="ListLabel37">
    <w:name w:val="ListLabel 37"/>
    <w:qFormat/>
    <w:rsid w:val="0008787F"/>
    <w:rPr>
      <w:rFonts w:cs="Wingdings"/>
    </w:rPr>
  </w:style>
  <w:style w:type="character" w:customStyle="1" w:styleId="ListLabel38">
    <w:name w:val="ListLabel 38"/>
    <w:qFormat/>
    <w:rsid w:val="0008787F"/>
    <w:rPr>
      <w:rFonts w:cs="Symbol"/>
    </w:rPr>
  </w:style>
  <w:style w:type="character" w:customStyle="1" w:styleId="ListLabel39">
    <w:name w:val="ListLabel 39"/>
    <w:qFormat/>
    <w:rsid w:val="0008787F"/>
    <w:rPr>
      <w:rFonts w:cs="Courier New"/>
    </w:rPr>
  </w:style>
  <w:style w:type="character" w:customStyle="1" w:styleId="ListLabel40">
    <w:name w:val="ListLabel 40"/>
    <w:qFormat/>
    <w:rsid w:val="0008787F"/>
    <w:rPr>
      <w:rFonts w:cs="Wingdings"/>
    </w:rPr>
  </w:style>
  <w:style w:type="character" w:customStyle="1" w:styleId="CabealhoChar1">
    <w:name w:val="Cabeçalho Char1"/>
    <w:basedOn w:val="Fontepargpadro"/>
    <w:uiPriority w:val="99"/>
    <w:semiHidden/>
    <w:qFormat/>
    <w:rsid w:val="0097498B"/>
    <w:rPr>
      <w:color w:val="00000A"/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qFormat/>
    <w:rsid w:val="0097498B"/>
    <w:rPr>
      <w:color w:val="00000A"/>
      <w:sz w:val="22"/>
      <w:szCs w:val="22"/>
      <w:lang w:eastAsia="en-US"/>
    </w:rPr>
  </w:style>
  <w:style w:type="character" w:customStyle="1" w:styleId="CabealhoChar2">
    <w:name w:val="Cabeçalho Char2"/>
    <w:basedOn w:val="Fontepargpadro"/>
    <w:link w:val="Cabealho2"/>
    <w:uiPriority w:val="99"/>
    <w:semiHidden/>
    <w:qFormat/>
    <w:rsid w:val="0026069D"/>
    <w:rPr>
      <w:color w:val="00000A"/>
      <w:sz w:val="22"/>
      <w:szCs w:val="22"/>
      <w:lang w:eastAsia="en-US"/>
    </w:rPr>
  </w:style>
  <w:style w:type="character" w:customStyle="1" w:styleId="RodapChar2">
    <w:name w:val="Rodapé Char2"/>
    <w:basedOn w:val="Fontepargpadro"/>
    <w:link w:val="Rodap2"/>
    <w:uiPriority w:val="99"/>
    <w:semiHidden/>
    <w:qFormat/>
    <w:rsid w:val="0026069D"/>
    <w:rPr>
      <w:color w:val="00000A"/>
      <w:sz w:val="22"/>
      <w:szCs w:val="22"/>
      <w:lang w:eastAsia="en-US"/>
    </w:rPr>
  </w:style>
  <w:style w:type="paragraph" w:styleId="Ttulo">
    <w:name w:val="Title"/>
    <w:basedOn w:val="Normal"/>
    <w:next w:val="Corpodetexto"/>
    <w:qFormat/>
    <w:rsid w:val="007D3B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D3B5C"/>
    <w:pPr>
      <w:spacing w:after="140" w:line="288" w:lineRule="auto"/>
    </w:pPr>
  </w:style>
  <w:style w:type="paragraph" w:styleId="Lista">
    <w:name w:val="List"/>
    <w:basedOn w:val="Corpodetexto"/>
    <w:rsid w:val="007D3B5C"/>
    <w:rPr>
      <w:rFonts w:cs="Arial"/>
    </w:rPr>
  </w:style>
  <w:style w:type="paragraph" w:customStyle="1" w:styleId="Legenda1">
    <w:name w:val="Legenda1"/>
    <w:basedOn w:val="Normal"/>
    <w:qFormat/>
    <w:rsid w:val="000878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D3B5C"/>
    <w:pPr>
      <w:suppressLineNumbers/>
    </w:pPr>
    <w:rPr>
      <w:rFonts w:cs="Arial"/>
    </w:rPr>
  </w:style>
  <w:style w:type="paragraph" w:customStyle="1" w:styleId="Ttulo31">
    <w:name w:val="Título 31"/>
    <w:basedOn w:val="Normal"/>
    <w:next w:val="Normal"/>
    <w:link w:val="Ttulo3Char"/>
    <w:qFormat/>
    <w:rsid w:val="005F7AFD"/>
    <w:pPr>
      <w:keepNext/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customStyle="1" w:styleId="Ttulo51">
    <w:name w:val="Título 51"/>
    <w:basedOn w:val="Normal"/>
    <w:next w:val="Normal"/>
    <w:link w:val="Ttulo5Char"/>
    <w:qFormat/>
    <w:rsid w:val="0046172E"/>
    <w:pPr>
      <w:suppressAutoHyphens/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customStyle="1" w:styleId="Legenda10">
    <w:name w:val="Legenda1"/>
    <w:basedOn w:val="Normal"/>
    <w:qFormat/>
    <w:rsid w:val="007D3B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934B6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934B6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5F7AFD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customStyle="1" w:styleId="WW-Recuodecorpodetexto3">
    <w:name w:val="WW-Recuo de corpo de texto 3"/>
    <w:basedOn w:val="Normal"/>
    <w:qFormat/>
    <w:rsid w:val="005F7AFD"/>
    <w:pPr>
      <w:suppressAutoHyphens/>
      <w:spacing w:after="0" w:line="240" w:lineRule="auto"/>
      <w:ind w:left="2410" w:firstLine="1"/>
      <w:jc w:val="both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qFormat/>
    <w:rsid w:val="005F7AFD"/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qFormat/>
    <w:rsid w:val="0046172E"/>
    <w:pPr>
      <w:spacing w:before="280" w:after="28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qFormat/>
    <w:rsid w:val="0046172E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9657B"/>
    <w:pPr>
      <w:spacing w:after="200" w:line="240" w:lineRule="auto"/>
    </w:pPr>
    <w:rPr>
      <w:rFonts w:eastAsia="Calibr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965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">
    <w:name w:val="Body"/>
    <w:uiPriority w:val="99"/>
    <w:qFormat/>
    <w:rsid w:val="00880AB4"/>
    <w:pPr>
      <w:spacing w:after="200" w:line="276" w:lineRule="auto"/>
    </w:pPr>
    <w:rPr>
      <w:rFonts w:eastAsia="Arial Unicode MS" w:cs="Calibri"/>
      <w:color w:val="000000"/>
      <w:sz w:val="22"/>
      <w:szCs w:val="22"/>
      <w:u w:color="000000"/>
    </w:rPr>
  </w:style>
  <w:style w:type="paragraph" w:customStyle="1" w:styleId="Cabealho2">
    <w:name w:val="Cabeçalho2"/>
    <w:basedOn w:val="Normal"/>
    <w:link w:val="CabealhoChar2"/>
    <w:uiPriority w:val="99"/>
    <w:semiHidden/>
    <w:unhideWhenUsed/>
    <w:rsid w:val="002606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2">
    <w:name w:val="Rodapé2"/>
    <w:basedOn w:val="Normal"/>
    <w:link w:val="RodapChar2"/>
    <w:uiPriority w:val="99"/>
    <w:semiHidden/>
    <w:unhideWhenUsed/>
    <w:rsid w:val="0026069D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57E9D-F787-44A8-978A-620D6A96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2256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M. C. Silveira</dc:creator>
  <dc:description/>
  <cp:lastModifiedBy>dirlegis3</cp:lastModifiedBy>
  <cp:revision>2</cp:revision>
  <cp:lastPrinted>2020-09-17T16:29:00Z</cp:lastPrinted>
  <dcterms:created xsi:type="dcterms:W3CDTF">2021-01-13T14:44:00Z</dcterms:created>
  <dcterms:modified xsi:type="dcterms:W3CDTF">2021-01-13T14:44:00Z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