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 xml:space="preserve">ATO LEGISLATIVO Nº. </w:t>
      </w:r>
      <w:r>
        <w:rPr>
          <w:rFonts w:cs="Arial" w:ascii="Arial" w:hAnsi="Arial"/>
          <w:b/>
          <w:bCs/>
          <w:sz w:val="36"/>
          <w:szCs w:val="28"/>
        </w:rPr>
        <w:t>20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 xml:space="preserve">Especial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que tem a finalidade de elaborar estudos técnicos e jurídicos em conjunto com os demais órgãos públicos para viabilizar a vacinação dos professores do município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cs="Arial" w:ascii="Arial" w:hAnsi="Arial"/>
          <w:b w:val="false"/>
          <w:bCs w:val="false"/>
        </w:rPr>
        <w:t xml:space="preserve">Comissão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Especial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que tem a finalidade de elaborar estudos técnicos e jurídicos em conjunto com os demais órgãos públicos para viabilizar a vacinação dos professores do município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Luci Duartes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 xml:space="preserve">Givago Ribeiro </w:t>
      </w:r>
      <w:r>
        <w:rPr>
          <w:rFonts w:cs="Arial" w:ascii="Arial" w:hAnsi="Arial"/>
        </w:rPr>
        <w:t xml:space="preserve">(Vice-Presidente) e </w:t>
      </w:r>
      <w:r>
        <w:rPr>
          <w:rFonts w:cs="Arial" w:ascii="Arial" w:hAnsi="Arial"/>
        </w:rPr>
        <w:t>Marina Callegaro</w:t>
      </w:r>
      <w:r>
        <w:rPr>
          <w:rFonts w:cs="Arial" w:ascii="Arial" w:hAnsi="Arial"/>
        </w:rPr>
        <w:t xml:space="preserve"> (Relator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>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onze</w:t>
      </w:r>
      <w:r>
        <w:rPr>
          <w:rFonts w:cs="Arial" w:ascii="Arial" w:hAnsi="Arial"/>
        </w:rPr>
        <w:t xml:space="preserve"> (11) dias do mês de maio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850" cy="72580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4pt;height:57.0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07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25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8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955" cy="45529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160" cy="45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55pt;height:35.7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LibreOffice/7.0.2.2$Windows_X86_64 LibreOffice_project/8349ace3c3162073abd90d81fd06dcfb6b36b994</Application>
  <Pages>1</Pages>
  <Words>202</Words>
  <Characters>1143</Characters>
  <CharactersWithSpaces>1337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2021-05-13T12:13:07Z</dcterms:modified>
  <cp:revision>14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