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bCs/>
          <w:sz w:val="24"/>
          <w:szCs w:val="24"/>
        </w:rPr>
        <w:t>DECRETO EXECUTIVO Nº 48, DE 26 DE ABRIL DE 2021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Calibri"/>
          <w:b w:val="false"/>
          <w:bCs w:val="false"/>
          <w:i/>
          <w:iCs/>
          <w:color w:val="000000"/>
          <w:sz w:val="22"/>
          <w:szCs w:val="22"/>
        </w:rPr>
        <w:t xml:space="preserve">(Republicado em </w:t>
      </w:r>
      <w:r>
        <w:rPr>
          <w:rFonts w:cs="Calibri"/>
          <w:b w:val="false"/>
          <w:bCs w:val="false"/>
          <w:i/>
          <w:iCs/>
          <w:color w:val="000000"/>
          <w:sz w:val="22"/>
          <w:szCs w:val="22"/>
        </w:rPr>
        <w:t>3</w:t>
      </w:r>
      <w:r>
        <w:rPr>
          <w:rFonts w:cs="Calibri"/>
          <w:b w:val="false"/>
          <w:bCs w:val="false"/>
          <w:i/>
          <w:iCs/>
          <w:color w:val="000000"/>
          <w:sz w:val="22"/>
          <w:szCs w:val="22"/>
        </w:rPr>
        <w:t xml:space="preserve"> de </w:t>
      </w:r>
      <w:r>
        <w:rPr>
          <w:rFonts w:cs="Calibri"/>
          <w:b w:val="false"/>
          <w:bCs w:val="false"/>
          <w:i/>
          <w:iCs/>
          <w:color w:val="000000"/>
          <w:sz w:val="22"/>
          <w:szCs w:val="22"/>
        </w:rPr>
        <w:t>maio</w:t>
      </w:r>
      <w:r>
        <w:rPr>
          <w:rFonts w:cs="Calibri"/>
          <w:b w:val="false"/>
          <w:bCs w:val="false"/>
          <w:i/>
          <w:iCs/>
          <w:color w:val="000000"/>
          <w:sz w:val="22"/>
          <w:szCs w:val="22"/>
        </w:rPr>
        <w:t xml:space="preserve"> de 2021)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Autoriza o pagamento de horas extraordinárias aos servidores designados para função gratificada e dá outras providências.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 xml:space="preserve"> as determinações do Decreto Estadual nº 55.128, de 19 de março de 2020 o qual declara estado de calamidade pública em todo o território do Estado do Rio Grande do Sul, em razão da pandemia causada pelo novo Coronavírus – COVID-19;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 xml:space="preserve"> a crise na área de saúde por que passa o País, o Estado do Rio Grande do Sul e, de consequência o Município, em razão da pandemia, o que requer ampliação das medidas de distanciamento e isolamento social, a fim de evitar a propagação e disseminação do vírus causador da doença;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 xml:space="preserve"> os deveres do Município no sentido de fiscalizar o cumprimento das medidas necessárias à prevenção e o enfrentamento à epidemia causada pelo novo Coronavírus - COVID-19;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 xml:space="preserve"> a necessidade de ampliar as ações de fiscalização e monitoramento das atividades reunindo servidores de diversas áreas para que, em conjunto, possam exercer o poder de polícia, com o objetivo de garantir o atendimento às medidas de segurança, nos termos do Decreto Estadual nº 55.799, de 2021, como requisito, inclusive para o funcionamento das atividades econômicas;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 xml:space="preserve"> a determinação contida no art. 75 do Capítulo VII da Lei Municipal nº 5.189, de 2009, bem como a determinação contida no § 2º do art. 58 da Lei Municipal nº 3326, de 1991;</w:t>
      </w:r>
    </w:p>
    <w:p>
      <w:pPr>
        <w:pStyle w:val="Normal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CONSIDERANDO</w:t>
      </w:r>
      <w:r>
        <w:rPr>
          <w:rFonts w:cs="Times New Roman"/>
          <w:sz w:val="24"/>
          <w:szCs w:val="24"/>
        </w:rPr>
        <w:t>, por fim, a exceção de que dispõe o art. 60 da Lei Municipal nº 3326, de 1991, bem como o entendimento do Tribunal de Contas do Rio Grande do Sul - TCE/RS, por meio do Parecer nº 006/2019.</w:t>
      </w:r>
    </w:p>
    <w:p>
      <w:pPr>
        <w:pStyle w:val="Normal"/>
        <w:spacing w:lineRule="auto" w:line="240" w:before="0" w:after="0"/>
        <w:ind w:firstLine="170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  <w:u w:val="single"/>
        </w:rPr>
        <w:t>D E C R E T A: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Art. 1º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Fica autorizado, excepcionalmente para esse período de calamidade pública, em razão da Pandemia da COVID-19, o pagamento pela realização de horas extraordinárias, aos servidores detentores de função gratificada.</w:t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Parágrafo único. </w:t>
      </w:r>
      <w:r>
        <w:rPr>
          <w:rFonts w:cs="Times New Roman"/>
          <w:sz w:val="24"/>
          <w:szCs w:val="24"/>
        </w:rPr>
        <w:t>A realização do serviço extraordinário deverá ser precedida de Portaria convocatória nominal expedida pelo Sr. Prefeito Municipal ou a quem, por ele, o ato for delegado.</w:t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Art. 2º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 horas extraordinárias, juntamente com a jornada de trabalho, deverão ser rigorosamente registradas em documento de “Controle de ponto e Horas Extraordinárias” (Anexo I), o qual deverá ser devidamente assinado pelo servidor, pela chefia imediata, bem como pelo secretário titular da pasta de lotação do servidor convocado.</w:t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Art. 3º </w:t>
      </w:r>
      <w:r>
        <w:rPr>
          <w:rFonts w:cs="Times New Roman"/>
          <w:sz w:val="24"/>
          <w:szCs w:val="24"/>
        </w:rPr>
        <w:t>O Controle de ponto e Horas Extraordinárias do servidor deverá ser encaminhado à Secretaria de Município de Gestão e Modernização Administrativa, juntamente cópia da portaria autorizativa, a fim de serem auferidas e lançadas para o devido pagamento.</w:t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widowControl w:val="false"/>
        <w:tabs>
          <w:tab w:val="left" w:pos="1763" w:leader="none"/>
        </w:tabs>
        <w:bidi w:val="0"/>
        <w:spacing w:lineRule="auto" w:line="259" w:before="0" w:after="0"/>
        <w:ind w:left="0" w:right="0" w:firstLine="1701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Art. </w:t>
      </w:r>
      <w:r>
        <w:rPr>
          <w:rFonts w:cs="Times New Roman"/>
          <w:b w:val="false"/>
          <w:bCs w:val="false"/>
          <w:sz w:val="24"/>
          <w:szCs w:val="24"/>
        </w:rPr>
        <w:t>4</w:t>
      </w:r>
      <w:r>
        <w:rPr>
          <w:rFonts w:cs="Times New Roman"/>
          <w:b w:val="false"/>
          <w:bCs w:val="false"/>
          <w:sz w:val="24"/>
          <w:szCs w:val="24"/>
        </w:rPr>
        <w:t xml:space="preserve">º </w:t>
      </w:r>
      <w:r>
        <w:rPr>
          <w:rFonts w:cs="Times New Roman"/>
          <w:sz w:val="24"/>
          <w:szCs w:val="24"/>
        </w:rPr>
        <w:t>Fica delegado, à servidora CAROLINA SALBEGO LISOWSKI, detentora do cargo de provimento em comissão de Controladora Geral do Município, a competência para firmar portaria convocatória para o cumprimento de serviços extraordinários de que trata o presente decreto.</w:t>
      </w:r>
    </w:p>
    <w:p>
      <w:pPr>
        <w:pStyle w:val="Normal"/>
        <w:bidi w:val="0"/>
        <w:spacing w:lineRule="auto" w:line="240" w:before="0" w:after="0"/>
        <w:ind w:firstLine="141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/>
      </w:pPr>
      <w:r>
        <w:rPr>
          <w:sz w:val="24"/>
          <w:szCs w:val="24"/>
        </w:rPr>
        <w:t xml:space="preserve">Art. </w:t>
      </w:r>
      <w:r>
        <w:rPr>
          <w:sz w:val="24"/>
          <w:szCs w:val="24"/>
        </w:rPr>
        <w:t>5</w:t>
      </w:r>
      <w:r>
        <w:rPr>
          <w:sz w:val="24"/>
          <w:szCs w:val="24"/>
        </w:rPr>
        <w:t>º Este Decreto Executivo entra em vigor na data de sua publicação.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/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 em Santa Maria, aos 26 dias do mês de abril de 2021.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Jorge Cladistone Pozzobon</w:t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>
      <w:pPr>
        <w:pStyle w:val="Normal"/>
        <w:widowControl w:val="false"/>
        <w:bidi w:val="0"/>
        <w:spacing w:lineRule="auto" w:line="259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2552" w:footer="227" w:bottom="158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</w:rPr>
    </w:pPr>
    <w:r>
      <w:rPr>
        <w:rFonts w:eastAsia="Arial" w:cs="Arial" w:ascii="Arial" w:hAnsi="Arial"/>
        <w:b/>
        <w:color w:val="000000"/>
        <w:sz w:val="18"/>
        <w:szCs w:val="18"/>
      </w:rPr>
      <w:t>Rua Venâncio Aires, nº 2277 · 3º Andar · Centro · Santa Maria / RS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 xml:space="preserve">CEP: 97010-005 · Tel.: (55) 3921.7056 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>www.santamaria.rs.gov.br</w:t>
    </w:r>
  </w:p>
  <w:p>
    <w:pPr>
      <w:pStyle w:val="Normal"/>
      <w:widowControl/>
      <w:spacing w:lineRule="auto" w:line="240" w:before="0" w:after="0"/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</w:rPr>
      <w:t>E</w:t>
    </w:r>
    <w:r>
      <w:rPr>
        <w:rFonts w:eastAsia="Arial" w:cs="Arial" w:ascii="Arial" w:hAnsi="Arial"/>
        <w:b/>
        <w:color w:val="000000"/>
      </w:rPr>
      <w:t>STADO DO RIO GRANDE DO SUL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PREFEITURA MUNICIPAL DE SANTA MARIA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SECRETARIA DE GESTÃO E MODERNIZAÇÃO ADMINISTRATIVA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Superintendência de Administração</w:t>
    </w:r>
  </w:p>
  <w:p>
    <w:pPr>
      <w:pStyle w:val="Normal"/>
      <w:widowControl/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keepLines/>
      <w:widowControl w:val="false"/>
      <w:bidi w:val="0"/>
      <w:spacing w:before="480" w:after="120"/>
      <w:jc w:val="left"/>
    </w:pPr>
    <w:rPr>
      <w:rFonts w:ascii="Calibri" w:hAnsi="Calibri" w:eastAsia="Calibri" w:cs="Calibri"/>
      <w:b/>
      <w:color w:val="00000A"/>
      <w:kern w:val="0"/>
      <w:sz w:val="72"/>
      <w:szCs w:val="7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LibreOffice/5.4.7.2$Windows_X86_64 LibreOffice_project/c838ef25c16710f8838b1faec480ebba495259d0</Application>
  <Pages>2</Pages>
  <Words>566</Words>
  <Characters>2961</Characters>
  <CharactersWithSpaces>3505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2021-03-17T15:19:00Z</dcterms:created>
  <dc:creator>Mateus Sangoi Frozza</dc:creator>
  <dc:description/>
  <dc:language>pt-BR</dc:language>
  <cp:lastModifiedBy/>
  <cp:lastPrinted>2021-04-30T09:39:02Z</cp:lastPrinted>
  <dcterms:modified xsi:type="dcterms:W3CDTF">2021-06-16T11:11:28Z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