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A1" w:rsidRDefault="00996F1D">
      <w:pPr>
        <w:pStyle w:val="LO-normal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DECRETO EXECUTIVO Nº 31, DE 4 D</w:t>
      </w:r>
      <w:r>
        <w:rPr>
          <w:b/>
          <w:bCs/>
          <w:sz w:val="24"/>
          <w:szCs w:val="24"/>
          <w:highlight w:val="white"/>
        </w:rPr>
        <w:t xml:space="preserve">E ABRIL </w:t>
      </w:r>
      <w:r>
        <w:rPr>
          <w:b/>
          <w:bCs/>
          <w:sz w:val="24"/>
          <w:szCs w:val="24"/>
        </w:rPr>
        <w:t>DE 2022</w:t>
      </w:r>
    </w:p>
    <w:p w:rsidR="005D1DA1" w:rsidRDefault="005D1DA1">
      <w:pPr>
        <w:spacing w:after="0" w:line="240" w:lineRule="auto"/>
        <w:rPr>
          <w:sz w:val="24"/>
          <w:szCs w:val="24"/>
        </w:rPr>
      </w:pPr>
    </w:p>
    <w:p w:rsidR="005D1DA1" w:rsidRDefault="00996F1D">
      <w:pPr>
        <w:pStyle w:val="WW-Textoembloco1"/>
        <w:spacing w:after="0" w:line="240" w:lineRule="auto"/>
        <w:ind w:left="5102" w:right="0"/>
      </w:pPr>
      <w:r w:rsidRPr="00807AA6">
        <w:rPr>
          <w:rStyle w:val="nfaseforte"/>
          <w:rFonts w:eastAsia="Arial" w:cs="Arial"/>
          <w:bCs w:val="0"/>
          <w:i w:val="0"/>
          <w:iCs w:val="0"/>
          <w:color w:val="000000"/>
          <w:sz w:val="24"/>
          <w:szCs w:val="24"/>
          <w:highlight w:val="white"/>
          <w:lang w:eastAsia="pt-BR"/>
        </w:rPr>
        <w:t>Desobriga e recomenda sobre a utilização de máscara de proteção individual, em espaços fechados, no Município de Santa Maria, e dá outras providências</w:t>
      </w:r>
      <w:r>
        <w:rPr>
          <w:rStyle w:val="nfaseforte"/>
          <w:rFonts w:eastAsia="Arial" w:cs="Arial"/>
          <w:b/>
          <w:bCs w:val="0"/>
          <w:i w:val="0"/>
          <w:iCs w:val="0"/>
          <w:color w:val="000000"/>
          <w:sz w:val="24"/>
          <w:szCs w:val="24"/>
          <w:highlight w:val="white"/>
          <w:lang w:eastAsia="pt-BR"/>
        </w:rPr>
        <w:t>.</w:t>
      </w:r>
      <w:r>
        <w:rPr>
          <w:rStyle w:val="nfaseforte"/>
          <w:rFonts w:eastAsia="Arial" w:cs="Arial"/>
          <w:b/>
          <w:bCs w:val="0"/>
          <w:color w:val="000000"/>
          <w:sz w:val="24"/>
          <w:szCs w:val="24"/>
          <w:highlight w:val="white"/>
          <w:lang w:eastAsia="pt-BR"/>
        </w:rPr>
        <w:t xml:space="preserve"> </w:t>
      </w:r>
    </w:p>
    <w:p w:rsidR="005D1DA1" w:rsidRDefault="005D1DA1">
      <w:pPr>
        <w:spacing w:after="0" w:line="240" w:lineRule="auto"/>
        <w:ind w:left="5102"/>
        <w:jc w:val="both"/>
        <w:rPr>
          <w:sz w:val="24"/>
          <w:szCs w:val="24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5D1DA1" w:rsidRDefault="005D1DA1">
      <w:pPr>
        <w:spacing w:after="0" w:line="240" w:lineRule="auto"/>
        <w:ind w:firstLine="1701"/>
        <w:jc w:val="both"/>
        <w:rPr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 xml:space="preserve"> a estabilização e a tendência de redução do número de casos ativos e a diminuição das internações em relação à COVID-19, conforme acompanhamento de dados realizado, semanalmente, pelo Centro de Referência do Município de Santa Maria;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 xml:space="preserve"> os avanços alcançados no enfrentamento da doença, especialmente no que diz respeito aos índices de vacinação já alcançados no Município;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 xml:space="preserve"> a manutenção e ampliação das campanhas vacinais, o que faz com que seja ampliado, cada vez mais, o número de usuários que alcançam o ciclo completo de imunização;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 xml:space="preserve"> que, mesmo havendo a possibilidade de desobrigação do uso de máscaras em locais abertos e fechados, é de suma importância que haja a manutenção e o cumprimento do protocolo em locais específicos, haja vista serem estes espaços com maior potencial de contaminação;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 xml:space="preserve"> que, mesmo diante da atual estabilidade nos dados relacionados à pandemia, medidas de prevenção como a ventilação dos ambientes e acesso a locais de maior risco mediante apresentação de comprovação de vacina seguem sendo protocolo altamente relevante para manutenção de ambientes saudáveis e para minimização de contágio;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  <w:r>
        <w:rPr>
          <w:rFonts w:cs="Arial"/>
          <w:sz w:val="24"/>
          <w:szCs w:val="24"/>
        </w:rPr>
        <w:t xml:space="preserve"> as orientações publicadas, através de Nota Técnica, por parte do Comitê Técnico Regional, vinculado à AM-Centro;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5D1DA1">
      <w:pPr>
        <w:spacing w:after="0" w:line="240" w:lineRule="auto"/>
        <w:jc w:val="both"/>
        <w:rPr>
          <w:sz w:val="24"/>
          <w:szCs w:val="24"/>
        </w:rPr>
      </w:pPr>
    </w:p>
    <w:p w:rsidR="005D1DA1" w:rsidRDefault="00996F1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</w:t>
      </w:r>
      <w:r>
        <w:rPr>
          <w:sz w:val="24"/>
          <w:szCs w:val="24"/>
          <w:u w:val="single"/>
        </w:rPr>
        <w:t>:</w:t>
      </w:r>
    </w:p>
    <w:p w:rsidR="005D1DA1" w:rsidRDefault="005D1DA1">
      <w:pPr>
        <w:pStyle w:val="Default"/>
        <w:ind w:right="-144"/>
        <w:jc w:val="both"/>
        <w:rPr>
          <w:rFonts w:ascii="Calibri" w:hAnsi="Calibri" w:cs="Calibri"/>
          <w:bCs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Art. 1º Fica desobrigado o uso de máscaras de proteção facial para o acesso </w:t>
      </w:r>
      <w:r>
        <w:rPr>
          <w:rFonts w:cs="Arial"/>
          <w:sz w:val="24"/>
          <w:szCs w:val="24"/>
        </w:rPr>
        <w:lastRenderedPageBreak/>
        <w:t>e permanência de indivíduos nas dependências de estabelecimentos públicos ou privados, industriais, comerciais e de prestação de serviços, bem como de órgãos públicos e demais locais fechados.</w:t>
      </w: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§ 1º O disposto no </w:t>
      </w:r>
      <w:r>
        <w:rPr>
          <w:rFonts w:cs="Arial"/>
          <w:i/>
          <w:sz w:val="24"/>
          <w:szCs w:val="24"/>
        </w:rPr>
        <w:t xml:space="preserve">caput </w:t>
      </w:r>
      <w:r>
        <w:rPr>
          <w:rFonts w:cs="Arial"/>
          <w:sz w:val="24"/>
          <w:szCs w:val="24"/>
        </w:rPr>
        <w:t>não se aplica nos estabelecimentos de saúde, como hospitais, Postos de Saúde, ESFs, Pronto-Atendimento, laboratórios clínicos, consultórios médicos e odontológicos, clínicas de atendimento à saúde humanas, farmácias e Instituições de Longa Permanência para Idosos (ILPI’s).</w:t>
      </w: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§ 2º Mantém-se a obrigatoriedade do uso de máscaras de proteção facial, cobrindo nariz e boca, durante a utilização dos serviços públicos e privados de transporte coletivo e escolar.</w:t>
      </w: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  <w:highlight w:val="white"/>
        </w:rPr>
      </w:pPr>
      <w:r>
        <w:rPr>
          <w:rFonts w:cs="Arial"/>
          <w:sz w:val="24"/>
          <w:szCs w:val="24"/>
          <w:highlight w:val="white"/>
        </w:rPr>
        <w:t>§ 3º Mantém-se a obrigação do uso de máscaras para pessoas que estejam infectados ou com suspeita de estar contaminadas pela COVID-19 e que necessitem, imprescindivelmente, deixar o isolamento e para pessoas que possuem contato direto com pessoa infectada pelo coronavírus, durante o período de transmissão.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Art. 2º Fica recomendada a utilização de máscara de proteção individual por imunossuprimidods e imunodeprimidos, portadores de doenças crônicas, pessoas com comorbidades, gestantes, idosos e pessoas que ainda não tenham alcançado o esquema vacinal completo.</w:t>
      </w:r>
    </w:p>
    <w:p w:rsidR="005D1DA1" w:rsidRDefault="005D1DA1">
      <w:pPr>
        <w:spacing w:after="0" w:line="240" w:lineRule="auto"/>
        <w:ind w:firstLine="1701"/>
        <w:jc w:val="both"/>
        <w:rPr>
          <w:rFonts w:eastAsia="Arial" w:cs="Arial"/>
          <w:strike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Art. 3º Segue recomendada que se mantenha o uso das máscaras, cobrindo boca e nariz, em lugares abertos ou fechados em que haja aglomeração de pessoas.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Art. 4º As medidas previstas neste Decreto Executivo poderão ser reavaliadas a qualquer momento, de acordo com as orientações técnicas em saúde, com a atualização dos dados locais, analisados semanalmente, e de acordo com a situação epidemiológica do Município.</w:t>
      </w:r>
    </w:p>
    <w:p w:rsidR="005D1DA1" w:rsidRDefault="005D1DA1">
      <w:pPr>
        <w:spacing w:after="0" w:line="240" w:lineRule="auto"/>
        <w:ind w:firstLine="1701"/>
        <w:jc w:val="both"/>
        <w:rPr>
          <w:sz w:val="24"/>
          <w:szCs w:val="24"/>
          <w:highlight w:val="white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Art. 5º </w:t>
      </w:r>
      <w:r>
        <w:rPr>
          <w:rFonts w:cs="Arial"/>
          <w:color w:val="000000"/>
          <w:sz w:val="24"/>
          <w:szCs w:val="24"/>
        </w:rPr>
        <w:t>Este Decreto Executivo entra em vigor na data de sua publicação</w:t>
      </w:r>
    </w:p>
    <w:p w:rsidR="005D1DA1" w:rsidRDefault="005D1DA1">
      <w:pPr>
        <w:spacing w:after="0" w:line="240" w:lineRule="auto"/>
        <w:ind w:firstLine="1701"/>
        <w:jc w:val="both"/>
        <w:rPr>
          <w:rFonts w:cs="Arial"/>
          <w:color w:val="000000"/>
          <w:sz w:val="20"/>
          <w:szCs w:val="20"/>
        </w:rPr>
      </w:pPr>
    </w:p>
    <w:p w:rsidR="005D1DA1" w:rsidRDefault="00996F1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4 dias do mês de abril de 2022.</w:t>
      </w:r>
    </w:p>
    <w:p w:rsidR="005D1DA1" w:rsidRDefault="00996F1D">
      <w:pPr>
        <w:tabs>
          <w:tab w:val="left" w:pos="3932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</w:p>
    <w:p w:rsidR="005D1DA1" w:rsidRDefault="005D1DA1">
      <w:pPr>
        <w:tabs>
          <w:tab w:val="left" w:pos="3932"/>
        </w:tabs>
        <w:spacing w:after="0" w:line="240" w:lineRule="auto"/>
        <w:rPr>
          <w:b/>
          <w:sz w:val="20"/>
          <w:szCs w:val="20"/>
        </w:rPr>
      </w:pPr>
    </w:p>
    <w:p w:rsidR="005D1DA1" w:rsidRDefault="005D1DA1">
      <w:pPr>
        <w:tabs>
          <w:tab w:val="left" w:pos="3932"/>
        </w:tabs>
        <w:spacing w:after="0" w:line="240" w:lineRule="auto"/>
        <w:rPr>
          <w:b/>
          <w:sz w:val="20"/>
          <w:szCs w:val="20"/>
        </w:rPr>
      </w:pPr>
    </w:p>
    <w:p w:rsidR="005D1DA1" w:rsidRDefault="00996F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Cladistone Pozzobom</w:t>
      </w:r>
    </w:p>
    <w:p w:rsidR="005D1DA1" w:rsidRDefault="00996F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5D1DA1" w:rsidSect="005D1DA1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C4" w:rsidRDefault="004C3BC4" w:rsidP="005D1DA1">
      <w:pPr>
        <w:spacing w:after="0" w:line="240" w:lineRule="auto"/>
      </w:pPr>
      <w:r>
        <w:separator/>
      </w:r>
    </w:p>
  </w:endnote>
  <w:endnote w:type="continuationSeparator" w:id="0">
    <w:p w:rsidR="004C3BC4" w:rsidRDefault="004C3BC4" w:rsidP="005D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A1" w:rsidRDefault="00996F1D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5D1DA1" w:rsidRDefault="00996F1D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5D1DA1" w:rsidRDefault="00996F1D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5D1DA1" w:rsidRDefault="005D1DA1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C4" w:rsidRDefault="004C3BC4" w:rsidP="005D1DA1">
      <w:pPr>
        <w:spacing w:after="0" w:line="240" w:lineRule="auto"/>
      </w:pPr>
      <w:r>
        <w:separator/>
      </w:r>
    </w:p>
  </w:footnote>
  <w:footnote w:type="continuationSeparator" w:id="0">
    <w:p w:rsidR="004C3BC4" w:rsidRDefault="004C3BC4" w:rsidP="005D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A1" w:rsidRDefault="00996F1D">
    <w:pPr>
      <w:pStyle w:val="Cabealho1"/>
      <w:rPr>
        <w:rFonts w:ascii="Arial" w:hAnsi="Arial" w:cs="Arial"/>
        <w:b/>
        <w:szCs w:val="22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4282440</wp:posOffset>
          </wp:positionH>
          <wp:positionV relativeFrom="paragraph">
            <wp:posOffset>-261620</wp:posOffset>
          </wp:positionV>
          <wp:extent cx="1612900" cy="60071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58" r="-1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2"/>
      </w:rPr>
      <w:t>ESTADO DO RIO GRANDE DO SUL</w:t>
    </w:r>
  </w:p>
  <w:p w:rsidR="005D1DA1" w:rsidRDefault="00996F1D">
    <w:pPr>
      <w:pStyle w:val="Cabealho1"/>
      <w:tabs>
        <w:tab w:val="right" w:pos="9071"/>
      </w:tabs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PREFEITURA MUNICIPAL DE SANTA MARIA</w:t>
    </w:r>
    <w:r>
      <w:rPr>
        <w:rFonts w:ascii="Arial" w:hAnsi="Arial" w:cs="Arial"/>
        <w:b/>
        <w:szCs w:val="22"/>
      </w:rPr>
      <w:tab/>
    </w:r>
  </w:p>
  <w:p w:rsidR="005D1DA1" w:rsidRDefault="00996F1D">
    <w:pPr>
      <w:pStyle w:val="Cabealho1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Secretaria de Município de Administração e Gestão de Pessoas</w:t>
    </w:r>
  </w:p>
  <w:p w:rsidR="005D1DA1" w:rsidRDefault="00996F1D">
    <w:pPr>
      <w:pStyle w:val="Cabealho1"/>
      <w:widowControl/>
      <w:rPr>
        <w:rFonts w:ascii="Arial" w:hAnsi="Arial" w:cs="Arial"/>
        <w:b/>
        <w:szCs w:val="22"/>
      </w:rPr>
    </w:pPr>
    <w:r>
      <w:rPr>
        <w:rFonts w:ascii="Arial" w:eastAsia="Arial" w:hAnsi="Arial" w:cs="Arial"/>
        <w:b/>
        <w:color w:val="000000"/>
        <w:szCs w:val="22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1"/>
    <w:rsid w:val="004C3BC4"/>
    <w:rsid w:val="005D1DA1"/>
    <w:rsid w:val="00807AA6"/>
    <w:rsid w:val="00996F1D"/>
    <w:rsid w:val="00C5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6EB0-D62C-413C-B357-97FABA9F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link w:val="Cabealho1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F618E7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8522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1"/>
    <w:uiPriority w:val="99"/>
    <w:semiHidden/>
    <w:unhideWhenUsed/>
    <w:qFormat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1"/>
    <w:uiPriority w:val="99"/>
    <w:semiHidden/>
    <w:unhideWhenUsed/>
    <w:qFormat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Textoembloco1">
    <w:name w:val="WW-Texto em bloco1"/>
    <w:basedOn w:val="Normal"/>
    <w:qFormat/>
    <w:rsid w:val="0085227C"/>
    <w:pPr>
      <w:ind w:left="2977" w:right="140"/>
      <w:jc w:val="both"/>
    </w:pPr>
    <w:rPr>
      <w:b/>
      <w:i/>
      <w:iCs/>
      <w:sz w:val="28"/>
    </w:rPr>
  </w:style>
  <w:style w:type="paragraph" w:customStyle="1" w:styleId="CabealhoeRodap">
    <w:name w:val="Cabeçalho e Rodapé"/>
    <w:basedOn w:val="Normal"/>
    <w:qFormat/>
    <w:rsid w:val="005D1DA1"/>
  </w:style>
  <w:style w:type="paragraph" w:customStyle="1" w:styleId="Cabealho2">
    <w:name w:val="Cabeçalho2"/>
    <w:basedOn w:val="Normal"/>
    <w:rsid w:val="0085227C"/>
  </w:style>
  <w:style w:type="paragraph" w:customStyle="1" w:styleId="Rodap2">
    <w:name w:val="Rodapé2"/>
    <w:basedOn w:val="Normal"/>
    <w:rsid w:val="0085227C"/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Sangoi Frozza</dc:creator>
  <cp:lastModifiedBy>dirlegis3</cp:lastModifiedBy>
  <cp:revision>2</cp:revision>
  <cp:lastPrinted>2022-04-04T09:40:00Z</cp:lastPrinted>
  <dcterms:created xsi:type="dcterms:W3CDTF">2022-04-06T19:44:00Z</dcterms:created>
  <dcterms:modified xsi:type="dcterms:W3CDTF">2022-04-06T19:44:00Z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