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402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0E22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16/12/2022 à 19</w:t>
      </w:r>
      <w:r w:rsidR="007D399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/12</w:t>
      </w:r>
      <w:r w:rsidR="00672E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402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402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402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041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E7161E" w:rsidP="00E7161E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0E2229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0E2229" w:rsidP="004077DB">
            <w:pPr>
              <w:jc w:val="center"/>
            </w:pPr>
            <w:r>
              <w:t>LIVIA HOLKEM PASSARINI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0E222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16</w:t>
      </w:r>
      <w:r w:rsidR="007D399A">
        <w:rPr>
          <w:rFonts w:ascii="Times New Roman" w:eastAsia="Lucida Sans Unicode" w:hAnsi="Times New Roman" w:cs="Times New Roman"/>
          <w:sz w:val="24"/>
          <w:szCs w:val="24"/>
        </w:rPr>
        <w:t xml:space="preserve"> de dezembro</w:t>
      </w:r>
      <w:r w:rsidR="00402D7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de 2022.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108" w:rsidRDefault="007A4108" w:rsidP="00DA51B8">
      <w:pPr>
        <w:spacing w:after="0" w:line="240" w:lineRule="auto"/>
      </w:pPr>
      <w:r>
        <w:separator/>
      </w:r>
    </w:p>
  </w:endnote>
  <w:endnote w:type="continuationSeparator" w:id="1">
    <w:p w:rsidR="007A4108" w:rsidRDefault="007A4108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108" w:rsidRDefault="007A4108" w:rsidP="00DA51B8">
      <w:pPr>
        <w:spacing w:after="0" w:line="240" w:lineRule="auto"/>
      </w:pPr>
      <w:r>
        <w:separator/>
      </w:r>
    </w:p>
  </w:footnote>
  <w:footnote w:type="continuationSeparator" w:id="1">
    <w:p w:rsidR="007A4108" w:rsidRDefault="007A4108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80235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841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841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9442"/>
    <o:shapelayout v:ext="edit">
      <o:idmap v:ext="edit" data="18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2D77"/>
    <w:rsid w:val="004077DB"/>
    <w:rsid w:val="00424936"/>
    <w:rsid w:val="00444024"/>
    <w:rsid w:val="00450CD0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085D"/>
    <w:rsid w:val="00751254"/>
    <w:rsid w:val="007A4108"/>
    <w:rsid w:val="007C7055"/>
    <w:rsid w:val="007D2DBD"/>
    <w:rsid w:val="007D399A"/>
    <w:rsid w:val="007D6140"/>
    <w:rsid w:val="007F567C"/>
    <w:rsid w:val="0080235A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333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2022-12-16T11:47:00Z</cp:lastPrinted>
  <dcterms:created xsi:type="dcterms:W3CDTF">2022-12-16T13:24:00Z</dcterms:created>
  <dcterms:modified xsi:type="dcterms:W3CDTF">2022-12-16T13:24:00Z</dcterms:modified>
</cp:coreProperties>
</file>